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360" w:lineRule="auto"/>
        <w:jc w:val="center"/>
        <w:rPr>
          <w:rFonts w:hint="eastAsia" w:ascii="方正小标宋_GBK" w:hAnsi="宋体" w:eastAsia="方正小标宋_GBK"/>
          <w:b w:val="0"/>
          <w:szCs w:val="30"/>
        </w:rPr>
      </w:pPr>
      <w:r>
        <w:rPr>
          <w:rFonts w:hint="eastAsia" w:ascii="方正小标宋_GBK" w:hAnsi="宋体" w:eastAsia="方正小标宋_GBK"/>
          <w:b w:val="0"/>
          <w:sz w:val="36"/>
          <w:szCs w:val="30"/>
        </w:rPr>
        <w:t>竞争性谈判邀请书</w:t>
      </w:r>
    </w:p>
    <w:p>
      <w:pPr>
        <w:snapToGrid w:val="0"/>
        <w:spacing w:line="400" w:lineRule="exact"/>
        <w:ind w:firstLine="480" w:firstLineChars="200"/>
        <w:rPr>
          <w:rFonts w:hint="eastAsia" w:ascii="方正仿宋_GBK" w:hAnsi="宋体" w:eastAsia="方正仿宋_GBK"/>
          <w:sz w:val="24"/>
          <w:szCs w:val="24"/>
        </w:rPr>
      </w:pPr>
      <w:r>
        <w:rPr>
          <w:rFonts w:hint="eastAsia" w:ascii="方正仿宋_GBK" w:hAnsi="宋体" w:eastAsia="方正仿宋_GBK"/>
          <w:sz w:val="24"/>
          <w:szCs w:val="24"/>
        </w:rPr>
        <w:t>中捷通信有限公司（以下简称：采购代理机构）接受重庆双福育才中学的委托，对重庆双福育才中学书包柜采购进行竞争性谈判采购。欢迎有资格的供应商前来参加谈判。</w:t>
      </w:r>
    </w:p>
    <w:p>
      <w:pPr>
        <w:pStyle w:val="5"/>
        <w:spacing w:before="0" w:after="0" w:line="400" w:lineRule="exact"/>
        <w:rPr>
          <w:rFonts w:ascii="方正仿宋_GBK" w:eastAsia="方正仿宋_GBK"/>
          <w:sz w:val="24"/>
          <w:szCs w:val="24"/>
        </w:rPr>
      </w:pPr>
      <w:bookmarkStart w:id="0" w:name="_Toc317775175"/>
      <w:bookmarkStart w:id="1" w:name="_Toc9124"/>
      <w:bookmarkStart w:id="2" w:name="_Toc313893526"/>
      <w:r>
        <w:rPr>
          <w:rFonts w:hint="eastAsia" w:ascii="方正仿宋_GBK" w:eastAsia="方正仿宋_GBK"/>
          <w:sz w:val="24"/>
          <w:szCs w:val="24"/>
        </w:rPr>
        <w:t>一、竞争性谈判内容</w:t>
      </w:r>
      <w:bookmarkEnd w:id="0"/>
      <w:bookmarkEnd w:id="1"/>
      <w:bookmarkEnd w:id="2"/>
    </w:p>
    <w:tbl>
      <w:tblPr>
        <w:tblStyle w:val="6"/>
        <w:tblW w:w="928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9"/>
        <w:gridCol w:w="1700"/>
        <w:gridCol w:w="994"/>
        <w:gridCol w:w="1274"/>
        <w:gridCol w:w="1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b/>
                <w:bCs/>
                <w:kern w:val="0"/>
                <w:sz w:val="21"/>
                <w:szCs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1"/>
                <w:szCs w:val="24"/>
              </w:rPr>
              <w:t>项目名称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240" w:lineRule="auto"/>
              <w:ind w:left="0"/>
              <w:jc w:val="center"/>
              <w:outlineLvl w:val="0"/>
              <w:rPr>
                <w:rFonts w:hint="eastAsia" w:ascii="方正仿宋_GBK" w:hAnsi="宋体" w:eastAsia="方正仿宋_GBK"/>
                <w:b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b/>
                <w:sz w:val="21"/>
                <w:szCs w:val="21"/>
              </w:rPr>
              <w:t>预算金额</w:t>
            </w:r>
          </w:p>
          <w:p>
            <w:pPr>
              <w:jc w:val="center"/>
              <w:rPr>
                <w:rFonts w:hint="eastAsia" w:ascii="方正仿宋_GBK" w:hAnsi="宋体" w:eastAsia="方正仿宋_GBK" w:cs="宋体"/>
                <w:b/>
                <w:bCs/>
                <w:kern w:val="0"/>
                <w:sz w:val="21"/>
                <w:szCs w:val="24"/>
              </w:rPr>
            </w:pPr>
            <w:r>
              <w:rPr>
                <w:rFonts w:hint="eastAsia" w:ascii="方正仿宋_GBK" w:hAnsi="宋体" w:eastAsia="方正仿宋_GBK"/>
                <w:b/>
                <w:sz w:val="21"/>
                <w:szCs w:val="21"/>
              </w:rPr>
              <w:t>（万元）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b/>
                <w:bCs/>
                <w:kern w:val="0"/>
                <w:sz w:val="21"/>
                <w:szCs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1"/>
                <w:szCs w:val="24"/>
              </w:rPr>
              <w:t>保证金</w:t>
            </w:r>
          </w:p>
          <w:p>
            <w:pPr>
              <w:jc w:val="center"/>
              <w:rPr>
                <w:rFonts w:hint="eastAsia" w:ascii="方正仿宋_GBK" w:hAnsi="宋体" w:eastAsia="方正仿宋_GBK" w:cs="宋体"/>
                <w:b/>
                <w:bCs/>
                <w:kern w:val="0"/>
                <w:sz w:val="21"/>
                <w:szCs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1"/>
                <w:szCs w:val="24"/>
              </w:rPr>
              <w:t>（万元）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方正仿宋_GBK" w:hAnsi="宋体" w:eastAsia="方正仿宋_GBK" w:cs="宋体"/>
                <w:b/>
                <w:bCs/>
                <w:kern w:val="0"/>
                <w:sz w:val="21"/>
                <w:szCs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1"/>
                <w:szCs w:val="24"/>
              </w:rPr>
              <w:t>成交供应商</w:t>
            </w:r>
          </w:p>
          <w:p>
            <w:pPr>
              <w:jc w:val="center"/>
              <w:rPr>
                <w:rFonts w:hint="eastAsia" w:ascii="方正仿宋_GBK" w:hAnsi="宋体" w:eastAsia="方正仿宋_GBK" w:cs="宋体"/>
                <w:b/>
                <w:bCs/>
                <w:kern w:val="0"/>
                <w:sz w:val="21"/>
                <w:szCs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1"/>
                <w:szCs w:val="24"/>
              </w:rPr>
              <w:t>（个）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b/>
                <w:bCs/>
                <w:kern w:val="0"/>
                <w:sz w:val="21"/>
                <w:szCs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1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1"/>
                <w:szCs w:val="24"/>
              </w:rPr>
            </w:pPr>
            <w:bookmarkStart w:id="3" w:name="_Hlk344477914"/>
            <w:r>
              <w:rPr>
                <w:rFonts w:hint="eastAsia" w:ascii="方正仿宋_GBK" w:hAnsi="宋体" w:eastAsia="方正仿宋_GBK" w:cs="宋体"/>
                <w:kern w:val="0"/>
                <w:sz w:val="21"/>
                <w:szCs w:val="24"/>
              </w:rPr>
              <w:t>重庆双福育才中学书包柜采购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1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1"/>
                <w:szCs w:val="24"/>
              </w:rPr>
              <w:t>73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1.4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1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方正仿宋_GBK" w:hAnsi="宋体" w:eastAsia="方正仿宋_GBK"/>
                <w:b/>
                <w:sz w:val="21"/>
                <w:szCs w:val="21"/>
              </w:rPr>
            </w:pPr>
          </w:p>
        </w:tc>
      </w:tr>
      <w:bookmarkEnd w:id="3"/>
    </w:tbl>
    <w:p>
      <w:pPr>
        <w:pStyle w:val="5"/>
        <w:spacing w:before="0" w:after="0" w:line="400" w:lineRule="exact"/>
        <w:rPr>
          <w:rFonts w:hint="eastAsia" w:ascii="方正仿宋_GBK" w:eastAsia="方正仿宋_GBK"/>
          <w:sz w:val="24"/>
          <w:szCs w:val="24"/>
        </w:rPr>
      </w:pPr>
      <w:bookmarkStart w:id="4" w:name="_Toc22582"/>
      <w:bookmarkStart w:id="5" w:name="_Toc373860293"/>
      <w:bookmarkStart w:id="6" w:name="_Toc317775178"/>
      <w:r>
        <w:rPr>
          <w:rFonts w:hint="eastAsia" w:ascii="方正仿宋_GBK" w:eastAsia="方正仿宋_GBK"/>
          <w:sz w:val="24"/>
          <w:szCs w:val="24"/>
        </w:rPr>
        <w:t>二、资金来源</w:t>
      </w:r>
      <w:bookmarkEnd w:id="4"/>
    </w:p>
    <w:p>
      <w:pPr>
        <w:spacing w:line="480" w:lineRule="exact"/>
        <w:ind w:firstLine="480" w:firstLineChars="200"/>
        <w:rPr>
          <w:rFonts w:hint="eastAsia" w:ascii="方正仿宋_GBK" w:hAnsi="宋体" w:eastAsia="方正仿宋_GBK"/>
          <w:sz w:val="24"/>
          <w:szCs w:val="24"/>
        </w:rPr>
      </w:pPr>
      <w:r>
        <w:rPr>
          <w:rFonts w:hint="eastAsia" w:ascii="方正仿宋_GBK" w:hAnsi="仿宋" w:eastAsia="方正仿宋_GBK"/>
          <w:sz w:val="24"/>
          <w:szCs w:val="24"/>
        </w:rPr>
        <w:t>单位自筹资金，</w:t>
      </w:r>
      <w:r>
        <w:rPr>
          <w:rFonts w:hint="eastAsia" w:ascii="方正仿宋_GBK" w:hAnsi="宋体" w:eastAsia="方正仿宋_GBK"/>
          <w:sz w:val="24"/>
          <w:szCs w:val="24"/>
        </w:rPr>
        <w:t>采购预算为73万元</w:t>
      </w:r>
      <w:r>
        <w:rPr>
          <w:rFonts w:hint="eastAsia" w:ascii="方正仿宋_GBK" w:hAnsi="仿宋" w:eastAsia="方正仿宋_GBK"/>
          <w:sz w:val="24"/>
          <w:szCs w:val="24"/>
        </w:rPr>
        <w:t>。</w:t>
      </w:r>
    </w:p>
    <w:p>
      <w:pPr>
        <w:pStyle w:val="5"/>
        <w:spacing w:before="0" w:after="0" w:line="400" w:lineRule="exact"/>
        <w:rPr>
          <w:rFonts w:hint="eastAsia" w:ascii="方正仿宋_GBK" w:eastAsia="方正仿宋_GBK"/>
          <w:sz w:val="24"/>
          <w:szCs w:val="24"/>
        </w:rPr>
      </w:pPr>
      <w:bookmarkStart w:id="7" w:name="_Toc10301"/>
      <w:r>
        <w:rPr>
          <w:rFonts w:hint="eastAsia" w:ascii="方正仿宋_GBK" w:eastAsia="方正仿宋_GBK"/>
          <w:sz w:val="24"/>
          <w:szCs w:val="24"/>
        </w:rPr>
        <w:t>三、谈判资格</w:t>
      </w:r>
      <w:bookmarkEnd w:id="7"/>
    </w:p>
    <w:p>
      <w:pPr>
        <w:spacing w:line="480" w:lineRule="exact"/>
        <w:ind w:firstLine="480" w:firstLineChars="200"/>
        <w:rPr>
          <w:rFonts w:hint="eastAsia" w:ascii="方正仿宋_GBK" w:hAnsi="宋体" w:eastAsia="方正仿宋_GBK"/>
          <w:sz w:val="24"/>
          <w:szCs w:val="24"/>
        </w:rPr>
      </w:pPr>
      <w:r>
        <w:rPr>
          <w:rFonts w:hint="eastAsia" w:ascii="方正仿宋_GBK" w:hAnsi="宋体" w:eastAsia="方正仿宋_GBK"/>
          <w:sz w:val="24"/>
          <w:szCs w:val="24"/>
        </w:rPr>
        <w:t>谈判供应商是指向采购人提供货物、工程或者服务的法人、其他组织或者自然人。以下简称供应商。合格的供应商应首先符合政府采购法第二十二条规定的基本条件，同时符合根据该项目特殊要求设置的特定资格条件。</w:t>
      </w:r>
    </w:p>
    <w:p>
      <w:pPr>
        <w:spacing w:line="480" w:lineRule="exact"/>
        <w:ind w:firstLine="480" w:firstLineChars="200"/>
        <w:rPr>
          <w:rFonts w:hint="eastAsia" w:ascii="方正仿宋_GBK" w:hAnsi="宋体" w:eastAsia="方正仿宋_GBK"/>
          <w:sz w:val="24"/>
          <w:szCs w:val="24"/>
        </w:rPr>
      </w:pPr>
      <w:r>
        <w:rPr>
          <w:rFonts w:hint="eastAsia" w:ascii="方正仿宋_GBK" w:hAnsi="宋体" w:eastAsia="方正仿宋_GBK"/>
          <w:sz w:val="24"/>
          <w:szCs w:val="24"/>
        </w:rPr>
        <w:t>（一）一般资格条件</w:t>
      </w:r>
    </w:p>
    <w:p>
      <w:pPr>
        <w:spacing w:line="480" w:lineRule="exact"/>
        <w:ind w:firstLine="480" w:firstLineChars="200"/>
        <w:rPr>
          <w:rFonts w:hint="eastAsia" w:ascii="方正仿宋_GBK" w:hAnsi="宋体" w:eastAsia="方正仿宋_GBK"/>
          <w:sz w:val="24"/>
          <w:szCs w:val="24"/>
        </w:rPr>
      </w:pPr>
      <w:r>
        <w:rPr>
          <w:rFonts w:hint="eastAsia" w:ascii="方正仿宋_GBK" w:hAnsi="宋体" w:eastAsia="方正仿宋_GBK"/>
          <w:sz w:val="24"/>
          <w:szCs w:val="24"/>
        </w:rPr>
        <w:t>1.具有独立承担民事责任的能力；</w:t>
      </w:r>
    </w:p>
    <w:p>
      <w:pPr>
        <w:spacing w:line="480" w:lineRule="exact"/>
        <w:ind w:firstLine="480" w:firstLineChars="200"/>
        <w:rPr>
          <w:rFonts w:hint="eastAsia" w:ascii="方正仿宋_GBK" w:hAnsi="宋体" w:eastAsia="方正仿宋_GBK"/>
          <w:sz w:val="24"/>
          <w:szCs w:val="24"/>
        </w:rPr>
      </w:pPr>
      <w:r>
        <w:rPr>
          <w:rFonts w:hint="eastAsia" w:ascii="方正仿宋_GBK" w:hAnsi="宋体" w:eastAsia="方正仿宋_GBK"/>
          <w:sz w:val="24"/>
          <w:szCs w:val="24"/>
        </w:rPr>
        <w:t>2.具有良好的商业信誉和健全的财务会计制度；</w:t>
      </w:r>
    </w:p>
    <w:p>
      <w:pPr>
        <w:spacing w:line="480" w:lineRule="exact"/>
        <w:ind w:firstLine="480" w:firstLineChars="200"/>
        <w:rPr>
          <w:rFonts w:hint="eastAsia" w:ascii="方正仿宋_GBK" w:hAnsi="宋体" w:eastAsia="方正仿宋_GBK"/>
          <w:sz w:val="24"/>
          <w:szCs w:val="24"/>
        </w:rPr>
      </w:pPr>
      <w:r>
        <w:rPr>
          <w:rFonts w:hint="eastAsia" w:ascii="方正仿宋_GBK" w:hAnsi="宋体" w:eastAsia="方正仿宋_GBK"/>
          <w:sz w:val="24"/>
          <w:szCs w:val="24"/>
        </w:rPr>
        <w:t>3.具有履行合同所必需的设备和专业技术能力；</w:t>
      </w:r>
    </w:p>
    <w:p>
      <w:pPr>
        <w:spacing w:line="480" w:lineRule="exact"/>
        <w:ind w:firstLine="480" w:firstLineChars="200"/>
        <w:rPr>
          <w:rFonts w:hint="eastAsia" w:ascii="方正仿宋_GBK" w:hAnsi="宋体" w:eastAsia="方正仿宋_GBK"/>
          <w:sz w:val="24"/>
          <w:szCs w:val="24"/>
        </w:rPr>
      </w:pPr>
      <w:r>
        <w:rPr>
          <w:rFonts w:hint="eastAsia" w:ascii="方正仿宋_GBK" w:hAnsi="宋体" w:eastAsia="方正仿宋_GBK"/>
          <w:sz w:val="24"/>
          <w:szCs w:val="24"/>
        </w:rPr>
        <w:t>4.有依法缴纳税收和社会保障资金的良好记录；</w:t>
      </w:r>
    </w:p>
    <w:p>
      <w:pPr>
        <w:spacing w:line="480" w:lineRule="exact"/>
        <w:ind w:firstLine="480" w:firstLineChars="200"/>
        <w:rPr>
          <w:rFonts w:hint="eastAsia" w:ascii="方正仿宋_GBK" w:hAnsi="宋体" w:eastAsia="方正仿宋_GBK"/>
          <w:sz w:val="24"/>
          <w:szCs w:val="24"/>
        </w:rPr>
      </w:pPr>
      <w:r>
        <w:rPr>
          <w:rFonts w:hint="eastAsia" w:ascii="方正仿宋_GBK" w:hAnsi="宋体" w:eastAsia="方正仿宋_GBK"/>
          <w:sz w:val="24"/>
          <w:szCs w:val="24"/>
        </w:rPr>
        <w:t>5.参加政府采购活动前三年内，在经营活动中没有重大违法记录；</w:t>
      </w:r>
    </w:p>
    <w:p>
      <w:pPr>
        <w:spacing w:line="480" w:lineRule="exact"/>
        <w:ind w:firstLine="480" w:firstLineChars="200"/>
        <w:rPr>
          <w:rFonts w:hint="eastAsia" w:ascii="方正仿宋_GBK" w:hAnsi="宋体" w:eastAsia="方正仿宋_GBK"/>
          <w:sz w:val="24"/>
          <w:szCs w:val="24"/>
        </w:rPr>
      </w:pPr>
      <w:r>
        <w:rPr>
          <w:rFonts w:hint="eastAsia" w:ascii="方正仿宋_GBK" w:hAnsi="宋体" w:eastAsia="方正仿宋_GBK"/>
          <w:sz w:val="24"/>
          <w:szCs w:val="24"/>
        </w:rPr>
        <w:t>6.法律、行政法规规定的其他条件。</w:t>
      </w:r>
    </w:p>
    <w:p>
      <w:pPr>
        <w:spacing w:line="480" w:lineRule="exact"/>
        <w:ind w:firstLine="480" w:firstLineChars="200"/>
        <w:rPr>
          <w:rFonts w:hint="eastAsia" w:ascii="方正仿宋_GBK" w:hAnsi="宋体" w:eastAsia="方正仿宋_GBK"/>
          <w:sz w:val="24"/>
          <w:szCs w:val="24"/>
        </w:rPr>
      </w:pPr>
      <w:r>
        <w:rPr>
          <w:rFonts w:hint="eastAsia" w:ascii="方正仿宋_GBK" w:hAnsi="宋体" w:eastAsia="方正仿宋_GBK"/>
          <w:sz w:val="24"/>
          <w:szCs w:val="24"/>
        </w:rPr>
        <w:t>（二）特定资格条件</w:t>
      </w:r>
    </w:p>
    <w:p>
      <w:pPr>
        <w:spacing w:line="480" w:lineRule="exact"/>
        <w:ind w:firstLine="480" w:firstLineChars="200"/>
        <w:rPr>
          <w:rFonts w:hint="eastAsia" w:ascii="方正仿宋_GBK" w:hAnsi="宋体" w:eastAsia="方正仿宋_GBK"/>
          <w:sz w:val="24"/>
          <w:szCs w:val="24"/>
        </w:rPr>
      </w:pPr>
      <w:r>
        <w:rPr>
          <w:rFonts w:hint="eastAsia" w:ascii="方正仿宋_GBK" w:hAnsi="宋体" w:eastAsia="方正仿宋_GBK"/>
          <w:sz w:val="24"/>
          <w:szCs w:val="24"/>
        </w:rPr>
        <w:t>1、供应商必须为生产厂家，营业执照经营范围包含：家具、不锈钢制品的生产、销售。（提供营业执照复印件并加盖供应商公章）</w:t>
      </w:r>
    </w:p>
    <w:p>
      <w:pPr>
        <w:spacing w:line="480" w:lineRule="exact"/>
        <w:ind w:firstLine="480" w:firstLineChars="200"/>
        <w:rPr>
          <w:rFonts w:hint="eastAsia" w:ascii="方正仿宋_GBK" w:hAnsi="宋体" w:eastAsia="方正仿宋_GBK"/>
          <w:sz w:val="24"/>
          <w:szCs w:val="24"/>
        </w:rPr>
      </w:pPr>
      <w:r>
        <w:rPr>
          <w:rFonts w:hint="eastAsia" w:ascii="方正仿宋_GBK" w:hAnsi="宋体" w:eastAsia="方正仿宋_GBK"/>
          <w:sz w:val="24"/>
          <w:szCs w:val="24"/>
        </w:rPr>
        <w:t>2、供应商具有有效的中国环保产品认证证书（CQC），范围包含金属办公家具（认证证书须附相关官方网站查询截图）。</w:t>
      </w:r>
    </w:p>
    <w:p>
      <w:pPr>
        <w:spacing w:line="480" w:lineRule="exact"/>
        <w:ind w:firstLine="480" w:firstLineChars="200"/>
        <w:rPr>
          <w:rFonts w:hint="eastAsia" w:ascii="方正仿宋_GBK" w:hAnsi="宋体" w:eastAsia="方正仿宋_GBK"/>
          <w:sz w:val="24"/>
          <w:szCs w:val="24"/>
        </w:rPr>
      </w:pPr>
      <w:r>
        <w:rPr>
          <w:rFonts w:hint="eastAsia" w:ascii="方正仿宋_GBK" w:hAnsi="宋体" w:eastAsia="方正仿宋_GBK"/>
          <w:sz w:val="24"/>
          <w:szCs w:val="24"/>
        </w:rPr>
        <w:t>3、供应商具有有效的“绿色供应链评价证书”。</w:t>
      </w:r>
    </w:p>
    <w:p>
      <w:pPr>
        <w:snapToGrid w:val="0"/>
        <w:spacing w:line="400" w:lineRule="exact"/>
        <w:ind w:firstLine="480" w:firstLineChars="200"/>
        <w:rPr>
          <w:rFonts w:hint="eastAsia" w:ascii="方正仿宋_GBK" w:hAnsi="宋体" w:eastAsia="方正仿宋_GBK"/>
          <w:sz w:val="24"/>
          <w:szCs w:val="24"/>
          <w:lang w:eastAsia="zh-CN"/>
        </w:rPr>
      </w:pPr>
      <w:r>
        <w:rPr>
          <w:rFonts w:hint="eastAsia" w:ascii="方正仿宋_GBK" w:hAnsi="宋体" w:eastAsia="方正仿宋_GBK"/>
          <w:sz w:val="24"/>
          <w:szCs w:val="24"/>
        </w:rPr>
        <w:t>4、</w:t>
      </w:r>
      <w:r>
        <w:rPr>
          <w:rFonts w:hint="eastAsia" w:ascii="方正仿宋_GBK" w:hAnsi="宋体" w:eastAsia="方正仿宋_GBK"/>
          <w:sz w:val="24"/>
          <w:szCs w:val="24"/>
          <w:lang w:eastAsia="zh-CN"/>
        </w:rPr>
        <w:t>供应商</w:t>
      </w:r>
      <w:r>
        <w:rPr>
          <w:rFonts w:hint="eastAsia" w:ascii="方正仿宋_GBK" w:hAnsi="宋体" w:eastAsia="方正仿宋_GBK"/>
          <w:sz w:val="24"/>
          <w:szCs w:val="24"/>
        </w:rPr>
        <w:t>具有有效的“安全生产标准化二级企业”证书</w:t>
      </w:r>
      <w:r>
        <w:rPr>
          <w:rFonts w:hint="eastAsia" w:ascii="方正仿宋_GBK" w:hAnsi="宋体" w:eastAsia="方正仿宋_GBK"/>
          <w:sz w:val="24"/>
          <w:szCs w:val="24"/>
          <w:lang w:eastAsia="zh-CN"/>
        </w:rPr>
        <w:t>。</w:t>
      </w:r>
      <w:bookmarkStart w:id="28" w:name="_GoBack"/>
      <w:bookmarkEnd w:id="28"/>
    </w:p>
    <w:p>
      <w:pPr>
        <w:pStyle w:val="2"/>
        <w:ind w:left="0" w:leftChars="0" w:firstLine="480"/>
      </w:pPr>
      <w:r>
        <w:rPr>
          <w:rFonts w:hint="eastAsia" w:ascii="方正仿宋_GBK" w:hAnsi="宋体" w:eastAsia="方正仿宋_GBK"/>
          <w:sz w:val="24"/>
          <w:szCs w:val="24"/>
        </w:rPr>
        <w:t>（以上提供证明资料复印件加盖公章 、原件备查）。</w:t>
      </w:r>
    </w:p>
    <w:p>
      <w:pPr>
        <w:pStyle w:val="5"/>
        <w:spacing w:before="0" w:after="0" w:line="480" w:lineRule="exact"/>
        <w:rPr>
          <w:rFonts w:hint="eastAsia" w:ascii="方正仿宋_GBK" w:eastAsia="方正仿宋_GBK"/>
          <w:sz w:val="24"/>
          <w:szCs w:val="24"/>
        </w:rPr>
      </w:pPr>
      <w:bookmarkStart w:id="8" w:name="_Toc27681"/>
      <w:r>
        <w:rPr>
          <w:rFonts w:hint="eastAsia" w:ascii="方正仿宋_GBK" w:eastAsia="方正仿宋_GBK"/>
          <w:sz w:val="24"/>
          <w:szCs w:val="24"/>
        </w:rPr>
        <w:t>四、谈判有关说明</w:t>
      </w:r>
      <w:bookmarkEnd w:id="5"/>
      <w:bookmarkEnd w:id="8"/>
    </w:p>
    <w:p>
      <w:pPr>
        <w:snapToGrid w:val="0"/>
        <w:spacing w:line="380" w:lineRule="exact"/>
        <w:ind w:firstLine="480" w:firstLineChars="200"/>
        <w:rPr>
          <w:rFonts w:hint="eastAsia" w:ascii="方正仿宋_GBK" w:hAnsi="宋体" w:eastAsia="方正仿宋_GBK"/>
          <w:sz w:val="24"/>
          <w:szCs w:val="24"/>
        </w:rPr>
      </w:pPr>
      <w:r>
        <w:rPr>
          <w:rFonts w:hint="eastAsia" w:ascii="方正仿宋_GBK" w:hAnsi="宋体" w:eastAsia="方正仿宋_GBK"/>
          <w:sz w:val="24"/>
          <w:szCs w:val="24"/>
        </w:rPr>
        <w:t>（一）</w:t>
      </w:r>
      <w:bookmarkStart w:id="9" w:name="字"/>
      <w:r>
        <w:rPr>
          <w:rFonts w:hint="eastAsia" w:ascii="方正仿宋_GBK" w:hAnsi="宋体" w:eastAsia="方正仿宋_GBK"/>
          <w:sz w:val="24"/>
          <w:szCs w:val="24"/>
        </w:rPr>
        <w:t>根据《重庆市财政局关于印发〈重庆市政府采购供应商注册及诚信管理暂行办法〉的通知》（渝财采购</w:t>
      </w:r>
      <w:bookmarkEnd w:id="9"/>
      <w:r>
        <w:rPr>
          <w:rFonts w:hint="eastAsia" w:ascii="方正仿宋_GBK" w:hAnsi="宋体" w:eastAsia="方正仿宋_GBK"/>
          <w:sz w:val="24"/>
          <w:szCs w:val="24"/>
        </w:rPr>
        <w:t>〔</w:t>
      </w:r>
      <w:bookmarkStart w:id="10" w:name="年"/>
      <w:r>
        <w:rPr>
          <w:rFonts w:hint="eastAsia" w:ascii="方正仿宋_GBK" w:hAnsi="宋体" w:eastAsia="方正仿宋_GBK"/>
          <w:sz w:val="24"/>
          <w:szCs w:val="24"/>
        </w:rPr>
        <w:t>2015</w:t>
      </w:r>
      <w:bookmarkEnd w:id="10"/>
      <w:r>
        <w:rPr>
          <w:rFonts w:hint="eastAsia" w:ascii="方正仿宋_GBK" w:hAnsi="宋体" w:eastAsia="方正仿宋_GBK"/>
          <w:sz w:val="24"/>
          <w:szCs w:val="24"/>
        </w:rPr>
        <w:t>〕</w:t>
      </w:r>
      <w:bookmarkStart w:id="11" w:name="号"/>
      <w:r>
        <w:rPr>
          <w:rFonts w:hint="eastAsia" w:ascii="方正仿宋_GBK" w:hAnsi="宋体" w:eastAsia="方正仿宋_GBK"/>
          <w:sz w:val="24"/>
          <w:szCs w:val="24"/>
        </w:rPr>
        <w:t>45</w:t>
      </w:r>
      <w:bookmarkEnd w:id="11"/>
      <w:r>
        <w:rPr>
          <w:rFonts w:hint="eastAsia" w:ascii="方正仿宋_GBK" w:hAnsi="宋体" w:eastAsia="方正仿宋_GBK"/>
          <w:sz w:val="24"/>
          <w:szCs w:val="24"/>
        </w:rPr>
        <w:t>号）规定，供应商应按要求进行注册，通过重庆市政府采购网（</w:t>
      </w:r>
      <w:r>
        <w:rPr>
          <w:rFonts w:hint="eastAsia" w:ascii="方正仿宋_GBK" w:hAnsi="宋体" w:eastAsia="方正仿宋_GBK"/>
          <w:sz w:val="24"/>
          <w:szCs w:val="24"/>
        </w:rPr>
        <w:fldChar w:fldCharType="begin"/>
      </w:r>
      <w:r>
        <w:rPr>
          <w:rFonts w:hint="eastAsia" w:ascii="方正仿宋_GBK" w:hAnsi="宋体" w:eastAsia="方正仿宋_GBK"/>
          <w:sz w:val="24"/>
          <w:szCs w:val="24"/>
        </w:rPr>
        <w:instrText xml:space="preserve"> HYPERLINK "http://www.cqgp.gov.cn" </w:instrText>
      </w:r>
      <w:r>
        <w:rPr>
          <w:rFonts w:hint="eastAsia" w:ascii="方正仿宋_GBK" w:hAnsi="宋体" w:eastAsia="方正仿宋_GBK"/>
          <w:sz w:val="24"/>
          <w:szCs w:val="24"/>
        </w:rPr>
        <w:fldChar w:fldCharType="separate"/>
      </w:r>
      <w:r>
        <w:rPr>
          <w:rFonts w:hint="eastAsia" w:ascii="方正仿宋_GBK" w:hAnsi="宋体" w:eastAsia="方正仿宋_GBK"/>
          <w:sz w:val="24"/>
          <w:szCs w:val="24"/>
        </w:rPr>
        <w:t>www.cqgp.gov.cn</w:t>
      </w:r>
      <w:r>
        <w:rPr>
          <w:rFonts w:hint="eastAsia" w:ascii="方正仿宋_GBK" w:hAnsi="宋体" w:eastAsia="方正仿宋_GBK"/>
          <w:sz w:val="24"/>
          <w:szCs w:val="24"/>
        </w:rPr>
        <w:fldChar w:fldCharType="end"/>
      </w:r>
      <w:r>
        <w:rPr>
          <w:rFonts w:hint="eastAsia" w:ascii="方正仿宋_GBK" w:hAnsi="宋体" w:eastAsia="方正仿宋_GBK"/>
          <w:sz w:val="24"/>
          <w:szCs w:val="24"/>
        </w:rPr>
        <w:t>），登记加入“重庆市政府采购供应商库”。</w:t>
      </w:r>
    </w:p>
    <w:p>
      <w:pPr>
        <w:snapToGrid w:val="0"/>
        <w:spacing w:line="380" w:lineRule="exact"/>
        <w:ind w:firstLine="480" w:firstLineChars="200"/>
        <w:rPr>
          <w:rFonts w:hint="eastAsia" w:ascii="方正仿宋_GBK" w:hAnsi="宋体" w:eastAsia="方正仿宋_GBK"/>
          <w:sz w:val="24"/>
          <w:szCs w:val="24"/>
        </w:rPr>
      </w:pPr>
      <w:r>
        <w:rPr>
          <w:rFonts w:hint="eastAsia" w:ascii="方正仿宋_GBK" w:hAnsi="宋体" w:eastAsia="方正仿宋_GBK"/>
          <w:sz w:val="24"/>
          <w:szCs w:val="24"/>
        </w:rPr>
        <w:t>（二）</w:t>
      </w:r>
      <w:bookmarkStart w:id="12" w:name="OLE_LINK2"/>
      <w:bookmarkStart w:id="13" w:name="OLE_LINK1"/>
      <w:r>
        <w:rPr>
          <w:rFonts w:hint="eastAsia" w:ascii="方正仿宋_GBK" w:hAnsi="宋体" w:eastAsia="方正仿宋_GBK"/>
          <w:sz w:val="24"/>
          <w:szCs w:val="24"/>
        </w:rPr>
        <w:t>凡有意参加谈判的供应商，到中捷通信有限公司领取本项目竞争性谈判文件以及图纸、补遗等谈判前公布的所有项目资料，无论供应商领取与否，均视为已知晓所有谈判实质性要求内容。</w:t>
      </w:r>
      <w:bookmarkEnd w:id="12"/>
      <w:bookmarkEnd w:id="13"/>
    </w:p>
    <w:p>
      <w:pPr>
        <w:snapToGrid w:val="0"/>
        <w:spacing w:line="380" w:lineRule="exact"/>
        <w:ind w:firstLine="480" w:firstLineChars="200"/>
        <w:rPr>
          <w:rFonts w:hint="eastAsia" w:ascii="方正仿宋_GBK" w:hAnsi="宋体" w:eastAsia="方正仿宋_GBK"/>
          <w:sz w:val="24"/>
          <w:szCs w:val="24"/>
        </w:rPr>
      </w:pPr>
      <w:r>
        <w:rPr>
          <w:rFonts w:hint="eastAsia" w:ascii="方正仿宋_GBK" w:hAnsi="宋体" w:eastAsia="方正仿宋_GBK"/>
          <w:sz w:val="24"/>
          <w:szCs w:val="24"/>
        </w:rPr>
        <w:t>（三）报名及谈判文件发售</w:t>
      </w:r>
    </w:p>
    <w:p>
      <w:pPr>
        <w:snapToGrid w:val="0"/>
        <w:spacing w:line="380" w:lineRule="exact"/>
        <w:ind w:firstLine="480" w:firstLineChars="200"/>
        <w:rPr>
          <w:rFonts w:hint="eastAsia" w:ascii="方正仿宋_GBK" w:hAnsi="宋体" w:eastAsia="方正仿宋_GBK"/>
          <w:sz w:val="24"/>
          <w:szCs w:val="24"/>
          <w:highlight w:val="none"/>
        </w:rPr>
      </w:pPr>
      <w:r>
        <w:rPr>
          <w:rFonts w:hint="eastAsia" w:ascii="方正仿宋_GBK" w:hAnsi="宋体" w:eastAsia="方正仿宋_GBK"/>
          <w:sz w:val="24"/>
          <w:szCs w:val="24"/>
        </w:rPr>
        <w:t>1.报名和谈判文件发</w:t>
      </w:r>
      <w:r>
        <w:rPr>
          <w:rFonts w:hint="eastAsia" w:ascii="方正仿宋_GBK" w:hAnsi="宋体" w:eastAsia="方正仿宋_GBK"/>
          <w:sz w:val="24"/>
          <w:szCs w:val="24"/>
          <w:highlight w:val="none"/>
        </w:rPr>
        <w:t>售期：2019年7月</w:t>
      </w:r>
      <w:r>
        <w:rPr>
          <w:rFonts w:hint="eastAsia" w:ascii="方正仿宋_GBK" w:hAnsi="宋体" w:eastAsia="方正仿宋_GBK"/>
          <w:sz w:val="24"/>
          <w:szCs w:val="24"/>
          <w:highlight w:val="none"/>
          <w:lang w:val="en-US" w:eastAsia="zh-CN"/>
        </w:rPr>
        <w:t>10</w:t>
      </w:r>
      <w:r>
        <w:rPr>
          <w:rFonts w:hint="eastAsia" w:ascii="方正仿宋_GBK" w:hAnsi="宋体" w:eastAsia="方正仿宋_GBK"/>
          <w:sz w:val="24"/>
          <w:szCs w:val="24"/>
          <w:highlight w:val="none"/>
        </w:rPr>
        <w:t>日-2019年7月</w:t>
      </w:r>
      <w:r>
        <w:rPr>
          <w:rFonts w:hint="eastAsia" w:ascii="方正仿宋_GBK" w:hAnsi="宋体" w:eastAsia="方正仿宋_GBK"/>
          <w:sz w:val="24"/>
          <w:szCs w:val="24"/>
          <w:highlight w:val="none"/>
          <w:lang w:val="en-US" w:eastAsia="zh-CN"/>
        </w:rPr>
        <w:t>15</w:t>
      </w:r>
      <w:r>
        <w:rPr>
          <w:rFonts w:hint="eastAsia" w:ascii="方正仿宋_GBK" w:hAnsi="宋体" w:eastAsia="方正仿宋_GBK"/>
          <w:sz w:val="24"/>
          <w:szCs w:val="24"/>
          <w:highlight w:val="none"/>
        </w:rPr>
        <w:t>日17:00（工作时间）</w:t>
      </w:r>
    </w:p>
    <w:p>
      <w:pPr>
        <w:snapToGrid w:val="0"/>
        <w:spacing w:line="380" w:lineRule="exact"/>
        <w:ind w:firstLine="480" w:firstLineChars="200"/>
        <w:rPr>
          <w:rFonts w:hint="eastAsia" w:ascii="方正仿宋_GBK" w:hAnsi="宋体" w:eastAsia="方正仿宋_GBK"/>
          <w:sz w:val="24"/>
          <w:szCs w:val="24"/>
          <w:highlight w:val="none"/>
        </w:rPr>
      </w:pPr>
      <w:r>
        <w:rPr>
          <w:rFonts w:hint="eastAsia" w:ascii="方正仿宋_GBK" w:hAnsi="宋体" w:eastAsia="方正仿宋_GBK"/>
          <w:sz w:val="24"/>
          <w:szCs w:val="24"/>
          <w:highlight w:val="none"/>
        </w:rPr>
        <w:t>2.谈判文件售价：人民币500元/份（售后不退）</w:t>
      </w:r>
    </w:p>
    <w:p>
      <w:pPr>
        <w:snapToGrid w:val="0"/>
        <w:spacing w:line="380" w:lineRule="exact"/>
        <w:ind w:firstLine="480" w:firstLineChars="200"/>
        <w:rPr>
          <w:rFonts w:hint="eastAsia" w:ascii="方正仿宋_GBK" w:hAnsi="宋体" w:eastAsia="方正仿宋_GBK"/>
          <w:sz w:val="24"/>
          <w:szCs w:val="24"/>
          <w:highlight w:val="none"/>
        </w:rPr>
      </w:pPr>
      <w:r>
        <w:rPr>
          <w:rFonts w:hint="eastAsia" w:ascii="方正仿宋_GBK" w:hAnsi="宋体" w:eastAsia="方正仿宋_GBK"/>
          <w:sz w:val="24"/>
          <w:szCs w:val="24"/>
          <w:highlight w:val="none"/>
        </w:rPr>
        <w:t>2.1谈判文件购买方式</w:t>
      </w:r>
    </w:p>
    <w:p>
      <w:pPr>
        <w:snapToGrid w:val="0"/>
        <w:spacing w:line="380" w:lineRule="exact"/>
        <w:ind w:firstLine="480" w:firstLineChars="200"/>
        <w:rPr>
          <w:rFonts w:hint="eastAsia" w:ascii="方正仿宋_GBK" w:hAnsi="宋体" w:eastAsia="方正仿宋_GBK"/>
          <w:sz w:val="24"/>
          <w:szCs w:val="24"/>
          <w:highlight w:val="none"/>
        </w:rPr>
      </w:pPr>
      <w:r>
        <w:rPr>
          <w:rFonts w:hint="eastAsia" w:ascii="方正仿宋_GBK" w:hAnsi="宋体" w:eastAsia="方正仿宋_GBK"/>
          <w:sz w:val="24"/>
          <w:szCs w:val="24"/>
          <w:highlight w:val="none"/>
        </w:rPr>
        <w:t>2.1.1现金购买</w:t>
      </w:r>
    </w:p>
    <w:p>
      <w:pPr>
        <w:snapToGrid w:val="0"/>
        <w:spacing w:line="380" w:lineRule="exact"/>
        <w:ind w:firstLine="480" w:firstLineChars="200"/>
        <w:rPr>
          <w:rFonts w:hint="eastAsia" w:ascii="方正仿宋_GBK" w:hAnsi="宋体" w:eastAsia="方正仿宋_GBK"/>
          <w:sz w:val="24"/>
          <w:szCs w:val="24"/>
          <w:highlight w:val="none"/>
        </w:rPr>
      </w:pPr>
      <w:r>
        <w:rPr>
          <w:rFonts w:hint="eastAsia" w:ascii="方正仿宋_GBK" w:hAnsi="宋体" w:eastAsia="方正仿宋_GBK"/>
          <w:sz w:val="24"/>
          <w:szCs w:val="24"/>
          <w:highlight w:val="none"/>
        </w:rPr>
        <w:t>在谈判文件发售期内，供应商到重庆市渝北区财富大道2号财富大厦A座11-1，递交《采购文件发售登记表》（加盖供应商公章）并购买谈判文件。</w:t>
      </w:r>
    </w:p>
    <w:p>
      <w:pPr>
        <w:snapToGrid w:val="0"/>
        <w:spacing w:line="380" w:lineRule="exact"/>
        <w:ind w:firstLine="480" w:firstLineChars="200"/>
        <w:rPr>
          <w:rFonts w:hint="eastAsia" w:ascii="方正仿宋_GBK" w:hAnsi="宋体" w:eastAsia="方正仿宋_GBK"/>
          <w:sz w:val="24"/>
          <w:szCs w:val="24"/>
          <w:highlight w:val="none"/>
        </w:rPr>
      </w:pPr>
      <w:r>
        <w:rPr>
          <w:rFonts w:hint="eastAsia" w:ascii="方正仿宋_GBK" w:hAnsi="宋体" w:eastAsia="方正仿宋_GBK"/>
          <w:sz w:val="24"/>
          <w:szCs w:val="24"/>
          <w:highlight w:val="none"/>
        </w:rPr>
        <w:t>3.在报名和谈判文件发售期内购买了谈判文件的供应商，其报名才被接收。</w:t>
      </w:r>
    </w:p>
    <w:p>
      <w:pPr>
        <w:snapToGrid w:val="0"/>
        <w:spacing w:line="380" w:lineRule="exact"/>
        <w:ind w:firstLine="480" w:firstLineChars="200"/>
        <w:rPr>
          <w:rFonts w:hint="eastAsia" w:ascii="方正仿宋_GBK" w:hAnsi="宋体" w:eastAsia="方正仿宋_GBK"/>
          <w:sz w:val="24"/>
          <w:szCs w:val="24"/>
          <w:highlight w:val="none"/>
        </w:rPr>
      </w:pPr>
      <w:r>
        <w:rPr>
          <w:rFonts w:hint="eastAsia" w:ascii="方正仿宋_GBK" w:hAnsi="宋体" w:eastAsia="方正仿宋_GBK"/>
          <w:sz w:val="24"/>
          <w:szCs w:val="24"/>
          <w:highlight w:val="none"/>
        </w:rPr>
        <w:t>（四）谈判地点：重庆市渝北区财富大道2号财富大厦A座11-1（开评标室）</w:t>
      </w:r>
    </w:p>
    <w:p>
      <w:pPr>
        <w:snapToGrid w:val="0"/>
        <w:spacing w:line="380" w:lineRule="exact"/>
        <w:ind w:firstLine="480" w:firstLineChars="200"/>
        <w:rPr>
          <w:rFonts w:hint="eastAsia" w:ascii="方正仿宋_GBK" w:hAnsi="宋体" w:eastAsia="方正仿宋_GBK"/>
          <w:sz w:val="24"/>
          <w:szCs w:val="24"/>
          <w:highlight w:val="none"/>
        </w:rPr>
      </w:pPr>
      <w:r>
        <w:rPr>
          <w:rFonts w:hint="eastAsia" w:ascii="方正仿宋_GBK" w:hAnsi="宋体" w:eastAsia="方正仿宋_GBK"/>
          <w:sz w:val="24"/>
          <w:szCs w:val="24"/>
          <w:highlight w:val="none"/>
        </w:rPr>
        <w:t>（五）提交响应文件截止时间：2019年7月</w:t>
      </w:r>
      <w:r>
        <w:rPr>
          <w:rFonts w:hint="eastAsia" w:ascii="方正仿宋_GBK" w:hAnsi="宋体" w:eastAsia="方正仿宋_GBK"/>
          <w:sz w:val="24"/>
          <w:szCs w:val="24"/>
          <w:highlight w:val="none"/>
          <w:lang w:val="en-US" w:eastAsia="zh-CN"/>
        </w:rPr>
        <w:t>17</w:t>
      </w:r>
      <w:r>
        <w:rPr>
          <w:rFonts w:hint="eastAsia" w:ascii="方正仿宋_GBK" w:hAnsi="宋体" w:eastAsia="方正仿宋_GBK"/>
          <w:sz w:val="24"/>
          <w:szCs w:val="24"/>
          <w:highlight w:val="none"/>
        </w:rPr>
        <w:t>日北京时间14:30</w:t>
      </w:r>
    </w:p>
    <w:p>
      <w:pPr>
        <w:spacing w:line="380" w:lineRule="exact"/>
        <w:ind w:firstLine="480" w:firstLineChars="200"/>
        <w:rPr>
          <w:rFonts w:hint="eastAsia" w:ascii="方正仿宋_GBK" w:hAnsi="宋体" w:eastAsia="方正仿宋_GBK"/>
          <w:sz w:val="24"/>
          <w:szCs w:val="24"/>
          <w:highlight w:val="none"/>
        </w:rPr>
      </w:pPr>
      <w:r>
        <w:rPr>
          <w:rFonts w:hint="eastAsia" w:ascii="方正仿宋_GBK" w:hAnsi="宋体" w:eastAsia="方正仿宋_GBK"/>
          <w:sz w:val="24"/>
          <w:szCs w:val="24"/>
          <w:highlight w:val="none"/>
        </w:rPr>
        <w:t>（六）谈判开始时间：2019年7月</w:t>
      </w:r>
      <w:r>
        <w:rPr>
          <w:rFonts w:hint="eastAsia" w:ascii="方正仿宋_GBK" w:hAnsi="宋体" w:eastAsia="方正仿宋_GBK"/>
          <w:sz w:val="24"/>
          <w:szCs w:val="24"/>
          <w:highlight w:val="none"/>
          <w:lang w:val="en-US" w:eastAsia="zh-CN"/>
        </w:rPr>
        <w:t>17</w:t>
      </w:r>
      <w:r>
        <w:rPr>
          <w:rFonts w:hint="eastAsia" w:ascii="方正仿宋_GBK" w:hAnsi="宋体" w:eastAsia="方正仿宋_GBK"/>
          <w:sz w:val="24"/>
          <w:szCs w:val="24"/>
          <w:highlight w:val="none"/>
        </w:rPr>
        <w:t>日北京时间14:30</w:t>
      </w:r>
    </w:p>
    <w:bookmarkEnd w:id="6"/>
    <w:p>
      <w:pPr>
        <w:pStyle w:val="5"/>
        <w:spacing w:before="0" w:after="0" w:line="380" w:lineRule="exact"/>
        <w:rPr>
          <w:rFonts w:hint="eastAsia" w:ascii="方正仿宋_GBK" w:eastAsia="方正仿宋_GBK"/>
          <w:sz w:val="24"/>
          <w:szCs w:val="24"/>
        </w:rPr>
      </w:pPr>
      <w:bookmarkStart w:id="14" w:name="_Toc19711"/>
      <w:bookmarkStart w:id="15" w:name="_Toc521053053"/>
      <w:bookmarkStart w:id="16" w:name="_Toc525047161"/>
      <w:bookmarkStart w:id="17" w:name="_Toc373860294"/>
      <w:r>
        <w:rPr>
          <w:rFonts w:hint="eastAsia" w:ascii="方正仿宋_GBK" w:eastAsia="方正仿宋_GBK"/>
          <w:sz w:val="24"/>
          <w:szCs w:val="24"/>
        </w:rPr>
        <w:t>五、保证金</w:t>
      </w:r>
      <w:bookmarkEnd w:id="14"/>
      <w:bookmarkEnd w:id="15"/>
      <w:bookmarkEnd w:id="16"/>
      <w:bookmarkEnd w:id="17"/>
    </w:p>
    <w:p>
      <w:pPr>
        <w:snapToGrid w:val="0"/>
        <w:spacing w:line="380" w:lineRule="exact"/>
        <w:ind w:firstLine="480" w:firstLineChars="200"/>
        <w:rPr>
          <w:rFonts w:hint="eastAsia" w:ascii="方正仿宋_GBK" w:hAnsi="宋体" w:eastAsia="方正仿宋_GBK"/>
          <w:sz w:val="24"/>
          <w:szCs w:val="24"/>
        </w:rPr>
      </w:pPr>
      <w:r>
        <w:rPr>
          <w:rFonts w:hint="eastAsia" w:ascii="方正仿宋_GBK" w:hAnsi="宋体" w:eastAsia="方正仿宋_GBK"/>
          <w:sz w:val="24"/>
          <w:szCs w:val="24"/>
        </w:rPr>
        <w:t>供应商须按本项目规定的谈判保证金金额进行缴纳（保证金金额详见本篇，一、竞争性谈判内容），由供应商从其基本账户将保证金汇至以下账户，保证金的到账截止时间为谈判开始时间。</w:t>
      </w:r>
    </w:p>
    <w:p>
      <w:pPr>
        <w:snapToGrid w:val="0"/>
        <w:spacing w:line="380" w:lineRule="exact"/>
        <w:ind w:firstLine="480" w:firstLineChars="200"/>
        <w:rPr>
          <w:rFonts w:hint="eastAsia" w:ascii="方正仿宋_GBK" w:hAnsi="宋体" w:eastAsia="方正仿宋_GBK"/>
          <w:sz w:val="24"/>
          <w:szCs w:val="24"/>
        </w:rPr>
      </w:pPr>
      <w:r>
        <w:rPr>
          <w:rFonts w:hint="eastAsia" w:ascii="方正仿宋_GBK" w:hAnsi="宋体" w:eastAsia="方正仿宋_GBK"/>
          <w:sz w:val="24"/>
          <w:szCs w:val="24"/>
        </w:rPr>
        <w:t>竞争性谈判缴纳保证金账户</w:t>
      </w:r>
    </w:p>
    <w:p>
      <w:pPr>
        <w:snapToGrid w:val="0"/>
        <w:spacing w:line="380" w:lineRule="exact"/>
        <w:ind w:firstLine="480" w:firstLineChars="200"/>
        <w:rPr>
          <w:rFonts w:hint="eastAsia" w:ascii="方正仿宋_GBK" w:hAnsi="宋体" w:eastAsia="方正仿宋_GBK"/>
          <w:b/>
          <w:bCs/>
          <w:sz w:val="24"/>
          <w:szCs w:val="24"/>
        </w:rPr>
      </w:pPr>
      <w:r>
        <w:rPr>
          <w:rFonts w:hint="eastAsia" w:ascii="方正仿宋_GBK" w:hAnsi="宋体" w:eastAsia="方正仿宋_GBK"/>
          <w:b/>
          <w:bCs/>
          <w:sz w:val="24"/>
          <w:szCs w:val="24"/>
        </w:rPr>
        <w:t>户  名：中捷通信有限公司</w:t>
      </w:r>
    </w:p>
    <w:p>
      <w:pPr>
        <w:snapToGrid w:val="0"/>
        <w:spacing w:line="380" w:lineRule="exact"/>
        <w:ind w:firstLine="480" w:firstLineChars="200"/>
        <w:rPr>
          <w:rFonts w:hint="eastAsia" w:ascii="方正仿宋_GBK" w:hAnsi="宋体" w:eastAsia="方正仿宋_GBK"/>
          <w:b/>
          <w:bCs/>
          <w:sz w:val="24"/>
          <w:szCs w:val="24"/>
        </w:rPr>
      </w:pPr>
      <w:r>
        <w:rPr>
          <w:rFonts w:hint="eastAsia" w:ascii="方正仿宋_GBK" w:hAnsi="宋体" w:eastAsia="方正仿宋_GBK"/>
          <w:b/>
          <w:bCs/>
          <w:sz w:val="24"/>
          <w:szCs w:val="24"/>
        </w:rPr>
        <w:t>开户行：中信银行广州花园支行</w:t>
      </w:r>
    </w:p>
    <w:p>
      <w:pPr>
        <w:snapToGrid w:val="0"/>
        <w:spacing w:line="380" w:lineRule="exact"/>
        <w:ind w:firstLine="480" w:firstLineChars="200"/>
        <w:rPr>
          <w:rFonts w:hint="eastAsia" w:ascii="方正仿宋_GBK" w:hAnsi="宋体" w:eastAsia="方正仿宋_GBK"/>
          <w:sz w:val="24"/>
          <w:szCs w:val="24"/>
          <w:highlight w:val="yellow"/>
        </w:rPr>
      </w:pPr>
      <w:r>
        <w:rPr>
          <w:rFonts w:hint="eastAsia" w:ascii="方正仿宋_GBK" w:hAnsi="宋体" w:eastAsia="方正仿宋_GBK"/>
          <w:b/>
          <w:bCs/>
          <w:sz w:val="24"/>
          <w:szCs w:val="24"/>
        </w:rPr>
        <w:t>账  号：3110910043853087586</w:t>
      </w:r>
    </w:p>
    <w:p>
      <w:pPr>
        <w:pStyle w:val="5"/>
        <w:spacing w:before="0" w:after="0" w:line="380" w:lineRule="exact"/>
        <w:rPr>
          <w:rFonts w:hint="eastAsia" w:ascii="方正仿宋_GBK" w:eastAsia="方正仿宋_GBK"/>
          <w:sz w:val="24"/>
          <w:szCs w:val="24"/>
        </w:rPr>
      </w:pPr>
      <w:bookmarkStart w:id="18" w:name="_Toc2934"/>
      <w:bookmarkStart w:id="19" w:name="_Toc525047162"/>
      <w:bookmarkStart w:id="20" w:name="_Toc521053054"/>
      <w:bookmarkStart w:id="21" w:name="_Toc479668114"/>
      <w:r>
        <w:rPr>
          <w:rFonts w:hint="eastAsia" w:ascii="方正仿宋_GBK" w:eastAsia="方正仿宋_GBK"/>
          <w:sz w:val="24"/>
          <w:szCs w:val="24"/>
        </w:rPr>
        <w:t>六、采购项目需落实的政府采购政策</w:t>
      </w:r>
      <w:bookmarkEnd w:id="18"/>
      <w:bookmarkEnd w:id="19"/>
      <w:bookmarkEnd w:id="20"/>
      <w:bookmarkEnd w:id="21"/>
    </w:p>
    <w:p>
      <w:pPr>
        <w:snapToGrid w:val="0"/>
        <w:spacing w:line="440" w:lineRule="exact"/>
        <w:ind w:firstLine="480" w:firstLineChars="200"/>
        <w:rPr>
          <w:rFonts w:hint="eastAsia" w:ascii="方正仿宋_GBK" w:hAnsi="宋体" w:eastAsia="方正仿宋_GBK"/>
          <w:sz w:val="24"/>
          <w:szCs w:val="24"/>
        </w:rPr>
      </w:pPr>
      <w:r>
        <w:rPr>
          <w:rFonts w:hint="eastAsia" w:ascii="方正仿宋_GBK" w:hAnsi="宋体" w:eastAsia="方正仿宋_GBK"/>
          <w:sz w:val="24"/>
          <w:szCs w:val="24"/>
        </w:rPr>
        <w:t>（一）按照《财政部 国家发展改革委关于印发&lt;节能产品政府采购实施意见&gt;的通知》（财库〔2004</w:t>
      </w:r>
      <w:r>
        <w:rPr>
          <w:rFonts w:ascii="方正仿宋_GBK" w:hAnsi="宋体" w:eastAsia="方正仿宋_GBK"/>
          <w:sz w:val="24"/>
          <w:szCs w:val="24"/>
        </w:rPr>
        <w:t>〕</w:t>
      </w:r>
      <w:r>
        <w:rPr>
          <w:rFonts w:hint="eastAsia" w:ascii="方正仿宋_GBK" w:hAnsi="宋体" w:eastAsia="方正仿宋_GBK"/>
          <w:sz w:val="24"/>
          <w:szCs w:val="24"/>
        </w:rPr>
        <w:t>185号）、《财政部 国家环保总局联合印发&lt;关于环境标志产品政府采购实施的意见&gt;》（财库〔2006</w:t>
      </w:r>
      <w:r>
        <w:rPr>
          <w:rFonts w:ascii="方正仿宋_GBK" w:hAnsi="宋体" w:eastAsia="方正仿宋_GBK"/>
          <w:sz w:val="24"/>
          <w:szCs w:val="24"/>
        </w:rPr>
        <w:t>〕</w:t>
      </w:r>
      <w:r>
        <w:rPr>
          <w:rFonts w:hint="eastAsia" w:ascii="方正仿宋_GBK" w:hAnsi="宋体" w:eastAsia="方正仿宋_GBK"/>
          <w:sz w:val="24"/>
          <w:szCs w:val="24"/>
        </w:rPr>
        <w:t>90号）的规定，落实国家节能环保政策。</w:t>
      </w:r>
    </w:p>
    <w:p>
      <w:pPr>
        <w:snapToGrid w:val="0"/>
        <w:spacing w:line="440" w:lineRule="exact"/>
        <w:ind w:firstLine="480" w:firstLineChars="200"/>
        <w:rPr>
          <w:rFonts w:hint="eastAsia" w:ascii="方正仿宋_GBK" w:hAnsi="宋体" w:eastAsia="方正仿宋_GBK"/>
          <w:sz w:val="24"/>
          <w:szCs w:val="24"/>
        </w:rPr>
      </w:pPr>
      <w:r>
        <w:rPr>
          <w:rFonts w:hint="eastAsia" w:ascii="方正仿宋_GBK" w:hAnsi="宋体" w:eastAsia="方正仿宋_GBK"/>
          <w:sz w:val="24"/>
          <w:szCs w:val="24"/>
        </w:rPr>
        <w:t>（二）按照《财政部 工业和信息化部关于印发&lt;政府采购促进中小企业发展暂行办法&gt;的通知》（财库〔2011〕181号）的规定，落实促进中小企业发展政策。</w:t>
      </w:r>
    </w:p>
    <w:p>
      <w:pPr>
        <w:snapToGrid w:val="0"/>
        <w:spacing w:line="440" w:lineRule="exact"/>
        <w:ind w:firstLine="480" w:firstLineChars="200"/>
        <w:rPr>
          <w:rFonts w:hint="eastAsia" w:ascii="方正仿宋_GBK" w:hAnsi="宋体" w:eastAsia="方正仿宋_GBK"/>
          <w:sz w:val="24"/>
          <w:szCs w:val="24"/>
        </w:rPr>
      </w:pPr>
      <w:r>
        <w:rPr>
          <w:rFonts w:hint="eastAsia" w:ascii="方正仿宋_GBK" w:hAnsi="宋体" w:eastAsia="方正仿宋_GBK"/>
          <w:sz w:val="24"/>
          <w:szCs w:val="24"/>
        </w:rPr>
        <w:t>（三）按照《财政部、司法部关于政府采购支持监狱企业发展有关问题的通知》（财库〔2014〕68号）的规定，落实支持监狱企业发展政策。</w:t>
      </w:r>
    </w:p>
    <w:p>
      <w:pPr>
        <w:snapToGrid w:val="0"/>
        <w:spacing w:line="440" w:lineRule="exact"/>
        <w:ind w:firstLine="480" w:firstLineChars="200"/>
        <w:rPr>
          <w:rFonts w:hint="eastAsia" w:ascii="方正仿宋_GBK" w:hAnsi="宋体" w:eastAsia="方正仿宋_GBK"/>
          <w:sz w:val="24"/>
          <w:szCs w:val="24"/>
        </w:rPr>
      </w:pPr>
      <w:r>
        <w:rPr>
          <w:rFonts w:hint="eastAsia" w:ascii="方正仿宋_GBK" w:hAnsi="宋体" w:eastAsia="方正仿宋_GBK"/>
          <w:sz w:val="24"/>
          <w:szCs w:val="24"/>
        </w:rPr>
        <w:t>（四）按照《三部门联合发布关于促进残疾人就业政府采购政策的通知》（财库〔2017〕 141号）的规定，落实支持残疾人福利性单位发展政策。</w:t>
      </w:r>
    </w:p>
    <w:p>
      <w:pPr>
        <w:pStyle w:val="5"/>
        <w:spacing w:before="0" w:after="0" w:line="380" w:lineRule="exact"/>
        <w:rPr>
          <w:rFonts w:hint="eastAsia" w:ascii="方正仿宋_GBK" w:eastAsia="方正仿宋_GBK"/>
          <w:sz w:val="24"/>
          <w:szCs w:val="24"/>
        </w:rPr>
      </w:pPr>
      <w:bookmarkStart w:id="22" w:name="_Toc14538"/>
      <w:bookmarkStart w:id="23" w:name="_Toc525047163"/>
      <w:bookmarkStart w:id="24" w:name="_Toc521053055"/>
      <w:r>
        <w:rPr>
          <w:rFonts w:hint="eastAsia" w:ascii="方正仿宋_GBK" w:eastAsia="方正仿宋_GBK"/>
          <w:sz w:val="24"/>
          <w:szCs w:val="24"/>
        </w:rPr>
        <w:t>七、其它有关规定</w:t>
      </w:r>
      <w:bookmarkEnd w:id="22"/>
      <w:bookmarkEnd w:id="23"/>
      <w:bookmarkEnd w:id="24"/>
    </w:p>
    <w:p>
      <w:pPr>
        <w:snapToGrid w:val="0"/>
        <w:spacing w:line="380" w:lineRule="exact"/>
        <w:ind w:firstLine="360" w:firstLineChars="150"/>
        <w:rPr>
          <w:rFonts w:hint="eastAsia" w:ascii="方正仿宋_GBK" w:hAnsi="宋体" w:eastAsia="方正仿宋_GBK"/>
          <w:sz w:val="24"/>
          <w:szCs w:val="24"/>
        </w:rPr>
      </w:pPr>
      <w:r>
        <w:rPr>
          <w:rFonts w:hint="eastAsia" w:ascii="方正仿宋_GBK" w:hAnsi="宋体" w:eastAsia="方正仿宋_GBK"/>
          <w:sz w:val="24"/>
          <w:szCs w:val="24"/>
        </w:rPr>
        <w:t>（一）单位负责人为同一人或者存在直接控股、管理关系的不同供应商，</w:t>
      </w:r>
      <w:r>
        <w:rPr>
          <w:rFonts w:ascii="方正仿宋_GBK" w:hAnsi="宋体" w:eastAsia="方正仿宋_GBK"/>
          <w:sz w:val="24"/>
          <w:szCs w:val="24"/>
        </w:rPr>
        <w:t>不得参加同一合同项</w:t>
      </w:r>
      <w:r>
        <w:rPr>
          <w:rFonts w:hint="eastAsia" w:ascii="方正仿宋_GBK" w:hAnsi="宋体" w:eastAsia="方正仿宋_GBK"/>
          <w:sz w:val="24"/>
          <w:szCs w:val="24"/>
        </w:rPr>
        <w:t>（分包）</w:t>
      </w:r>
      <w:r>
        <w:rPr>
          <w:rFonts w:ascii="方正仿宋_GBK" w:hAnsi="宋体" w:eastAsia="方正仿宋_GBK"/>
          <w:sz w:val="24"/>
          <w:szCs w:val="24"/>
        </w:rPr>
        <w:t>下的政府采购活动</w:t>
      </w:r>
      <w:r>
        <w:rPr>
          <w:rFonts w:hint="eastAsia" w:ascii="方正仿宋_GBK" w:hAnsi="宋体" w:eastAsia="方正仿宋_GBK"/>
          <w:sz w:val="24"/>
          <w:szCs w:val="24"/>
        </w:rPr>
        <w:t>，否则均为无效谈判。</w:t>
      </w:r>
    </w:p>
    <w:p>
      <w:pPr>
        <w:snapToGrid w:val="0"/>
        <w:spacing w:line="380" w:lineRule="exact"/>
        <w:ind w:firstLine="360" w:firstLineChars="150"/>
        <w:rPr>
          <w:rFonts w:hint="eastAsia" w:ascii="方正仿宋_GBK" w:hAnsi="宋体" w:eastAsia="方正仿宋_GBK"/>
          <w:sz w:val="24"/>
          <w:szCs w:val="24"/>
        </w:rPr>
      </w:pPr>
      <w:r>
        <w:rPr>
          <w:rFonts w:hint="eastAsia" w:ascii="方正仿宋_GBK" w:hAnsi="宋体" w:eastAsia="方正仿宋_GBK"/>
          <w:sz w:val="24"/>
          <w:szCs w:val="24"/>
        </w:rPr>
        <w:t>（二）为采购项目提供整体设计、规范编制或者项目管理、监理、检测等服务的供应商，不得再</w:t>
      </w:r>
      <w:r>
        <w:rPr>
          <w:rFonts w:ascii="方正仿宋_GBK" w:hAnsi="宋体" w:eastAsia="方正仿宋_GBK"/>
          <w:sz w:val="24"/>
          <w:szCs w:val="24"/>
        </w:rPr>
        <w:t>参加</w:t>
      </w:r>
      <w:r>
        <w:rPr>
          <w:rFonts w:hint="eastAsia" w:ascii="方正仿宋_GBK" w:hAnsi="宋体" w:eastAsia="方正仿宋_GBK"/>
          <w:sz w:val="24"/>
          <w:szCs w:val="24"/>
        </w:rPr>
        <w:t>该采购</w:t>
      </w:r>
      <w:r>
        <w:rPr>
          <w:rFonts w:ascii="方正仿宋_GBK" w:hAnsi="宋体" w:eastAsia="方正仿宋_GBK"/>
          <w:sz w:val="24"/>
          <w:szCs w:val="24"/>
        </w:rPr>
        <w:t>项目的</w:t>
      </w:r>
      <w:r>
        <w:rPr>
          <w:rFonts w:hint="eastAsia" w:ascii="方正仿宋_GBK" w:hAnsi="宋体" w:eastAsia="方正仿宋_GBK"/>
          <w:sz w:val="24"/>
          <w:szCs w:val="24"/>
        </w:rPr>
        <w:t>其他</w:t>
      </w:r>
      <w:r>
        <w:rPr>
          <w:rFonts w:ascii="方正仿宋_GBK" w:hAnsi="宋体" w:eastAsia="方正仿宋_GBK"/>
          <w:sz w:val="24"/>
          <w:szCs w:val="24"/>
        </w:rPr>
        <w:t>采购活动</w:t>
      </w:r>
      <w:r>
        <w:rPr>
          <w:rFonts w:hint="eastAsia" w:ascii="方正仿宋_GBK" w:hAnsi="宋体" w:eastAsia="方正仿宋_GBK"/>
          <w:sz w:val="24"/>
          <w:szCs w:val="24"/>
        </w:rPr>
        <w:t>。</w:t>
      </w:r>
    </w:p>
    <w:p>
      <w:pPr>
        <w:snapToGrid w:val="0"/>
        <w:spacing w:line="380" w:lineRule="exact"/>
        <w:ind w:firstLine="360" w:firstLineChars="150"/>
        <w:rPr>
          <w:rFonts w:hint="eastAsia" w:ascii="方正仿宋_GBK" w:hAnsi="宋体" w:eastAsia="方正仿宋_GBK"/>
          <w:sz w:val="24"/>
          <w:szCs w:val="24"/>
        </w:rPr>
      </w:pPr>
      <w:r>
        <w:rPr>
          <w:rFonts w:hint="eastAsia" w:ascii="方正仿宋_GBK" w:hAnsi="宋体" w:eastAsia="方正仿宋_GBK"/>
          <w:sz w:val="24"/>
          <w:szCs w:val="24"/>
        </w:rPr>
        <w:t>（三）同一合同项（分包）下为单一品目的货物采购中，同一品牌同一型号产品有多家供应商参加谈判，只能按照一家供应商计算。</w:t>
      </w:r>
    </w:p>
    <w:p>
      <w:pPr>
        <w:snapToGrid w:val="0"/>
        <w:spacing w:line="380" w:lineRule="exact"/>
        <w:ind w:firstLine="360" w:firstLineChars="150"/>
        <w:rPr>
          <w:rFonts w:hint="eastAsia" w:ascii="方正仿宋_GBK" w:hAnsi="宋体" w:eastAsia="方正仿宋_GBK"/>
          <w:sz w:val="24"/>
          <w:szCs w:val="24"/>
        </w:rPr>
      </w:pPr>
      <w:r>
        <w:rPr>
          <w:rFonts w:hint="eastAsia" w:ascii="方正仿宋_GBK" w:hAnsi="宋体" w:eastAsia="方正仿宋_GBK"/>
          <w:sz w:val="24"/>
          <w:szCs w:val="24"/>
        </w:rPr>
        <w:t>（四）同一合同项（分包）下的货物，制造商参与谈判的，不得再委托代理商参与谈判。</w:t>
      </w:r>
    </w:p>
    <w:p>
      <w:pPr>
        <w:snapToGrid w:val="0"/>
        <w:spacing w:line="380" w:lineRule="exact"/>
        <w:ind w:firstLine="360" w:firstLineChars="150"/>
        <w:rPr>
          <w:rFonts w:hint="eastAsia" w:ascii="方正仿宋_GBK" w:hAnsi="宋体" w:eastAsia="方正仿宋_GBK"/>
          <w:sz w:val="24"/>
          <w:szCs w:val="24"/>
        </w:rPr>
      </w:pPr>
      <w:r>
        <w:rPr>
          <w:rFonts w:hint="eastAsia" w:ascii="方正仿宋_GBK" w:hAnsi="宋体" w:eastAsia="方正仿宋_GBK"/>
          <w:sz w:val="24"/>
          <w:szCs w:val="24"/>
        </w:rPr>
        <w:t>（五）本项目的补遗文件（如果有）一律在重庆育才中学（http://www.cqyc.com/）、行采家（https://www.gec123.com/）上发布，请各供应商注意下载或到中捷通信有限公司领取；无论供应商下载或领取与否，均视同供应商已知晓本项目补遗文件（如果有）的内容。</w:t>
      </w:r>
    </w:p>
    <w:p>
      <w:pPr>
        <w:snapToGrid w:val="0"/>
        <w:spacing w:line="380" w:lineRule="exact"/>
        <w:ind w:firstLine="360" w:firstLineChars="150"/>
        <w:rPr>
          <w:rFonts w:hint="eastAsia" w:ascii="方正仿宋_GBK" w:hAnsi="宋体" w:eastAsia="方正仿宋_GBK"/>
          <w:sz w:val="24"/>
          <w:szCs w:val="24"/>
        </w:rPr>
      </w:pPr>
      <w:r>
        <w:rPr>
          <w:rFonts w:hint="eastAsia" w:ascii="方正仿宋_GBK" w:hAnsi="宋体" w:eastAsia="方正仿宋_GBK"/>
          <w:sz w:val="24"/>
          <w:szCs w:val="24"/>
        </w:rPr>
        <w:t>（六）超过响应文件截止时间递交的响应文件，恕不接收。</w:t>
      </w:r>
    </w:p>
    <w:p>
      <w:pPr>
        <w:snapToGrid w:val="0"/>
        <w:spacing w:line="380" w:lineRule="exact"/>
        <w:ind w:firstLine="360" w:firstLineChars="150"/>
        <w:rPr>
          <w:rFonts w:hint="eastAsia" w:ascii="方正仿宋_GBK" w:hAnsi="宋体" w:eastAsia="方正仿宋_GBK"/>
          <w:sz w:val="24"/>
          <w:szCs w:val="24"/>
        </w:rPr>
      </w:pPr>
      <w:r>
        <w:rPr>
          <w:rFonts w:hint="eastAsia" w:ascii="方正仿宋_GBK" w:hAnsi="宋体" w:eastAsia="方正仿宋_GBK"/>
          <w:sz w:val="24"/>
          <w:szCs w:val="24"/>
        </w:rPr>
        <w:t>（七）谈判费用：无论谈判结果如何，供应商参与本项目谈判的所有费用均应由供应商自行承担。</w:t>
      </w:r>
    </w:p>
    <w:p>
      <w:pPr>
        <w:snapToGrid w:val="0"/>
        <w:spacing w:line="380" w:lineRule="exact"/>
        <w:ind w:firstLine="360" w:firstLineChars="150"/>
        <w:rPr>
          <w:rFonts w:hint="eastAsia" w:ascii="方正仿宋_GBK" w:hAnsi="宋体" w:eastAsia="方正仿宋_GBK"/>
          <w:b/>
          <w:sz w:val="24"/>
          <w:szCs w:val="24"/>
        </w:rPr>
      </w:pPr>
      <w:r>
        <w:rPr>
          <w:rFonts w:hint="eastAsia" w:ascii="方正仿宋_GBK" w:hAnsi="宋体" w:eastAsia="方正仿宋_GBK"/>
          <w:b/>
          <w:sz w:val="24"/>
          <w:szCs w:val="24"/>
        </w:rPr>
        <w:t>（八）本项目不接受联合体参与谈判。</w:t>
      </w:r>
    </w:p>
    <w:p>
      <w:pPr>
        <w:snapToGrid w:val="0"/>
        <w:spacing w:line="380" w:lineRule="exact"/>
        <w:ind w:firstLine="360" w:firstLineChars="150"/>
        <w:rPr>
          <w:rFonts w:hint="eastAsia" w:ascii="方正仿宋_GBK" w:hAnsi="宋体" w:eastAsia="方正仿宋_GBK"/>
          <w:sz w:val="24"/>
          <w:szCs w:val="24"/>
        </w:rPr>
      </w:pPr>
      <w:r>
        <w:rPr>
          <w:rFonts w:hint="eastAsia" w:ascii="方正仿宋_GBK" w:hAnsi="宋体" w:eastAsia="方正仿宋_GBK"/>
          <w:sz w:val="24"/>
          <w:szCs w:val="24"/>
        </w:rPr>
        <w:t>（九）按照《财政部关于在政府采购活动中查询及使用信用记录有关问题的通知》财库〔2016〕125号，供应商列入失信被执行人、重大税收违法案件当事人名单、政府采购严重违法失信行为记录名单及其他不符合《中华人民共和国政府采购法》第二十二条规定条件的供应商，将拒绝其参与政府采购活动。</w:t>
      </w:r>
    </w:p>
    <w:p>
      <w:pPr>
        <w:pStyle w:val="5"/>
        <w:spacing w:before="0" w:after="0" w:line="380" w:lineRule="exact"/>
        <w:rPr>
          <w:rFonts w:hint="eastAsia" w:ascii="方正仿宋_GBK" w:eastAsia="方正仿宋_GBK"/>
          <w:sz w:val="24"/>
          <w:szCs w:val="24"/>
        </w:rPr>
      </w:pPr>
      <w:bookmarkStart w:id="25" w:name="_Toc4820"/>
      <w:bookmarkStart w:id="26" w:name="_Toc525047164"/>
      <w:bookmarkStart w:id="27" w:name="_Toc521053056"/>
      <w:r>
        <w:rPr>
          <w:rFonts w:hint="eastAsia" w:ascii="方正仿宋_GBK" w:eastAsia="方正仿宋_GBK"/>
          <w:sz w:val="24"/>
          <w:szCs w:val="24"/>
        </w:rPr>
        <w:t>八、联系方式</w:t>
      </w:r>
      <w:bookmarkEnd w:id="25"/>
      <w:bookmarkEnd w:id="26"/>
      <w:bookmarkEnd w:id="27"/>
    </w:p>
    <w:p>
      <w:pPr>
        <w:snapToGrid w:val="0"/>
        <w:spacing w:line="380" w:lineRule="exact"/>
        <w:ind w:firstLine="480" w:firstLineChars="200"/>
        <w:rPr>
          <w:rFonts w:hint="eastAsia" w:ascii="方正仿宋_GBK" w:hAnsi="宋体" w:eastAsia="方正仿宋_GBK"/>
          <w:sz w:val="24"/>
          <w:szCs w:val="24"/>
        </w:rPr>
      </w:pPr>
      <w:r>
        <w:rPr>
          <w:rFonts w:hint="eastAsia" w:ascii="方正仿宋_GBK" w:hAnsi="宋体" w:eastAsia="方正仿宋_GBK"/>
          <w:sz w:val="24"/>
          <w:szCs w:val="24"/>
        </w:rPr>
        <w:t>（一）采购人：重庆双福育才中学</w:t>
      </w:r>
    </w:p>
    <w:p>
      <w:pPr>
        <w:snapToGrid w:val="0"/>
        <w:spacing w:line="380" w:lineRule="exact"/>
        <w:ind w:firstLine="480" w:firstLineChars="200"/>
        <w:rPr>
          <w:rFonts w:hint="eastAsia" w:ascii="方正仿宋_GBK" w:hAnsi="宋体" w:eastAsia="方正仿宋_GBK"/>
          <w:sz w:val="24"/>
          <w:szCs w:val="24"/>
        </w:rPr>
      </w:pPr>
      <w:r>
        <w:rPr>
          <w:rFonts w:hint="eastAsia" w:ascii="方正仿宋_GBK" w:hAnsi="宋体" w:eastAsia="方正仿宋_GBK"/>
          <w:sz w:val="24"/>
          <w:szCs w:val="24"/>
        </w:rPr>
        <w:t>联系人：肖老师</w:t>
      </w:r>
    </w:p>
    <w:p>
      <w:pPr>
        <w:snapToGrid w:val="0"/>
        <w:spacing w:line="380" w:lineRule="exact"/>
        <w:ind w:firstLine="480" w:firstLineChars="200"/>
        <w:rPr>
          <w:rFonts w:ascii="方正仿宋_GBK" w:hAnsi="宋体" w:eastAsia="方正仿宋_GBK"/>
          <w:sz w:val="24"/>
          <w:szCs w:val="24"/>
        </w:rPr>
      </w:pPr>
      <w:r>
        <w:rPr>
          <w:rFonts w:hint="eastAsia" w:ascii="方正仿宋_GBK" w:hAnsi="宋体" w:eastAsia="方正仿宋_GBK"/>
          <w:sz w:val="24"/>
          <w:szCs w:val="24"/>
        </w:rPr>
        <w:t>电  话：13883806701</w:t>
      </w:r>
    </w:p>
    <w:p>
      <w:pPr>
        <w:snapToGrid w:val="0"/>
        <w:spacing w:line="380" w:lineRule="exact"/>
        <w:ind w:firstLine="480" w:firstLineChars="200"/>
        <w:rPr>
          <w:rFonts w:hint="eastAsia" w:ascii="方正仿宋_GBK" w:hAnsi="宋体" w:eastAsia="方正仿宋_GBK"/>
          <w:sz w:val="24"/>
          <w:szCs w:val="24"/>
        </w:rPr>
      </w:pPr>
      <w:r>
        <w:rPr>
          <w:rFonts w:hint="eastAsia" w:ascii="方正仿宋_GBK" w:hAnsi="宋体" w:eastAsia="方正仿宋_GBK"/>
          <w:sz w:val="24"/>
          <w:szCs w:val="24"/>
        </w:rPr>
        <w:t>地  址：重庆市江津区双福新区枫林大道行知路1号</w:t>
      </w:r>
    </w:p>
    <w:p>
      <w:pPr>
        <w:snapToGrid w:val="0"/>
        <w:spacing w:line="380" w:lineRule="exact"/>
        <w:ind w:firstLine="480" w:firstLineChars="200"/>
        <w:rPr>
          <w:rFonts w:hint="eastAsia" w:ascii="方正仿宋_GBK" w:hAnsi="宋体" w:eastAsia="方正仿宋_GBK"/>
          <w:sz w:val="24"/>
          <w:szCs w:val="24"/>
        </w:rPr>
      </w:pPr>
      <w:r>
        <w:rPr>
          <w:rFonts w:hint="eastAsia" w:ascii="方正仿宋_GBK" w:hAnsi="宋体" w:eastAsia="方正仿宋_GBK"/>
          <w:sz w:val="24"/>
          <w:szCs w:val="24"/>
        </w:rPr>
        <w:t>（二）采购代理机构：中捷通信有限公司</w:t>
      </w:r>
    </w:p>
    <w:p>
      <w:pPr>
        <w:snapToGrid w:val="0"/>
        <w:spacing w:line="380" w:lineRule="exact"/>
        <w:ind w:firstLine="480" w:firstLineChars="200"/>
        <w:rPr>
          <w:rFonts w:hint="eastAsia" w:ascii="方正仿宋_GBK" w:hAnsi="宋体" w:eastAsia="方正仿宋_GBK"/>
          <w:sz w:val="24"/>
          <w:szCs w:val="24"/>
        </w:rPr>
      </w:pPr>
      <w:r>
        <w:rPr>
          <w:rFonts w:hint="eastAsia" w:ascii="方正仿宋_GBK" w:hAnsi="宋体" w:eastAsia="方正仿宋_GBK"/>
          <w:sz w:val="24"/>
          <w:szCs w:val="24"/>
        </w:rPr>
        <w:t>联系人：曾徐</w:t>
      </w:r>
    </w:p>
    <w:p>
      <w:pPr>
        <w:snapToGrid w:val="0"/>
        <w:spacing w:line="380" w:lineRule="exact"/>
        <w:ind w:firstLine="480" w:firstLineChars="200"/>
        <w:rPr>
          <w:rFonts w:ascii="方正仿宋_GBK" w:hAnsi="宋体" w:eastAsia="方正仿宋_GBK"/>
          <w:sz w:val="24"/>
          <w:szCs w:val="24"/>
        </w:rPr>
      </w:pPr>
      <w:r>
        <w:rPr>
          <w:rFonts w:hint="eastAsia" w:ascii="方正仿宋_GBK" w:hAnsi="宋体" w:eastAsia="方正仿宋_GBK"/>
          <w:sz w:val="24"/>
          <w:szCs w:val="24"/>
        </w:rPr>
        <w:t>电  话：15023344892</w:t>
      </w:r>
    </w:p>
    <w:p>
      <w:pPr>
        <w:snapToGrid w:val="0"/>
        <w:spacing w:line="380" w:lineRule="exact"/>
        <w:ind w:firstLine="480" w:firstLineChars="200"/>
        <w:rPr>
          <w:rFonts w:ascii="方正仿宋_GBK" w:hAnsi="宋体" w:eastAsia="方正仿宋_GBK"/>
          <w:sz w:val="24"/>
          <w:szCs w:val="24"/>
        </w:rPr>
      </w:pPr>
      <w:r>
        <w:rPr>
          <w:rFonts w:hint="eastAsia" w:ascii="方正仿宋_GBK" w:hAnsi="宋体" w:eastAsia="方正仿宋_GBK"/>
          <w:sz w:val="24"/>
          <w:szCs w:val="24"/>
        </w:rPr>
        <w:t>传  真：023-67883873</w:t>
      </w:r>
    </w:p>
    <w:p>
      <w:pPr>
        <w:snapToGrid w:val="0"/>
        <w:spacing w:line="380" w:lineRule="exact"/>
        <w:ind w:firstLine="480" w:firstLineChars="200"/>
        <w:rPr>
          <w:rFonts w:ascii="方正仿宋_GBK" w:hAnsi="宋体" w:eastAsia="方正仿宋_GBK"/>
          <w:sz w:val="24"/>
          <w:szCs w:val="24"/>
        </w:rPr>
      </w:pPr>
      <w:r>
        <w:rPr>
          <w:rFonts w:hint="eastAsia" w:ascii="方正仿宋_GBK" w:hAnsi="宋体" w:eastAsia="方正仿宋_GBK"/>
          <w:sz w:val="24"/>
          <w:szCs w:val="24"/>
        </w:rPr>
        <w:t>地  址：重庆市渝北区财富大道2号财富大厦A座11-1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CA8711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lang w:val="en-US" w:eastAsia="zh-CN" w:bidi="ar-SA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5">
    <w:name w:val="heading 3"/>
    <w:basedOn w:val="1"/>
    <w:next w:val="1"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iPriority w:val="0"/>
    <w:pPr>
      <w:spacing w:after="120" w:afterLines="0" w:line="240" w:lineRule="auto"/>
      <w:ind w:left="420" w:leftChars="200" w:firstLine="420" w:firstLineChars="200"/>
    </w:pPr>
  </w:style>
  <w:style w:type="paragraph" w:styleId="3">
    <w:name w:val="Body Text Indent"/>
    <w:basedOn w:val="1"/>
    <w:uiPriority w:val="0"/>
    <w:pPr>
      <w:spacing w:line="700" w:lineRule="exact"/>
      <w:ind w:left="960"/>
    </w:pPr>
    <w:rPr>
      <w:sz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mingming</dc:creator>
  <cp:lastModifiedBy>清除</cp:lastModifiedBy>
  <dcterms:modified xsi:type="dcterms:W3CDTF">2019-07-10T06:55:03Z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