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center"/>
        <w:rPr>
          <w:rFonts w:hint="eastAsia" w:ascii="方正小标宋_GBK" w:hAnsi="宋体" w:eastAsia="方正小标宋_GBK"/>
          <w:b w:val="0"/>
          <w:szCs w:val="30"/>
        </w:rPr>
      </w:pPr>
      <w:r>
        <w:rPr>
          <w:rFonts w:hint="eastAsia" w:ascii="方正小标宋_GBK" w:hAnsi="宋体" w:eastAsia="方正小标宋_GBK"/>
          <w:b w:val="0"/>
          <w:sz w:val="36"/>
          <w:szCs w:val="30"/>
        </w:rPr>
        <w:t>竞争性谈判邀请书</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eastAsia="zh-CN"/>
        </w:rPr>
        <w:t>中捷通信有限公司</w:t>
      </w:r>
      <w:r>
        <w:rPr>
          <w:rFonts w:hint="eastAsia" w:ascii="方正仿宋_GBK" w:hAnsi="宋体" w:eastAsia="方正仿宋_GBK"/>
          <w:sz w:val="24"/>
          <w:szCs w:val="24"/>
        </w:rPr>
        <w:t>（以下简称：采购代理机构）接受</w:t>
      </w:r>
      <w:r>
        <w:rPr>
          <w:rFonts w:hint="eastAsia" w:ascii="方正仿宋_GBK" w:hAnsi="宋体" w:eastAsia="方正仿宋_GBK"/>
          <w:sz w:val="24"/>
          <w:szCs w:val="24"/>
          <w:lang w:eastAsia="zh-CN"/>
        </w:rPr>
        <w:t>重庆双福育才中学</w:t>
      </w:r>
      <w:r>
        <w:rPr>
          <w:rFonts w:hint="eastAsia" w:ascii="方正仿宋_GBK" w:hAnsi="宋体" w:eastAsia="方正仿宋_GBK"/>
          <w:sz w:val="24"/>
          <w:szCs w:val="24"/>
        </w:rPr>
        <w:t>的委托，对</w:t>
      </w:r>
      <w:r>
        <w:rPr>
          <w:rFonts w:hint="eastAsia" w:ascii="方正仿宋_GBK" w:hAnsi="宋体" w:eastAsia="方正仿宋_GBK"/>
          <w:sz w:val="24"/>
          <w:szCs w:val="24"/>
          <w:lang w:eastAsia="zh-CN"/>
        </w:rPr>
        <w:t>重庆双福育才中学监控系统采购项目</w:t>
      </w:r>
      <w:r>
        <w:rPr>
          <w:rFonts w:hint="eastAsia" w:ascii="方正仿宋_GBK" w:hAnsi="宋体" w:eastAsia="方正仿宋_GBK"/>
          <w:sz w:val="24"/>
          <w:szCs w:val="24"/>
        </w:rPr>
        <w:t>进行竞争性谈判采购。欢迎有资格的供应商前来参加谈判。</w:t>
      </w:r>
    </w:p>
    <w:p>
      <w:pPr>
        <w:pStyle w:val="3"/>
        <w:spacing w:before="0" w:after="0" w:line="400" w:lineRule="exact"/>
        <w:rPr>
          <w:rFonts w:ascii="方正仿宋_GBK" w:eastAsia="方正仿宋_GBK"/>
          <w:sz w:val="24"/>
          <w:szCs w:val="24"/>
        </w:rPr>
      </w:pPr>
      <w:bookmarkStart w:id="0" w:name="_Toc317775175"/>
      <w:bookmarkStart w:id="1" w:name="_Toc3632"/>
      <w:bookmarkStart w:id="2" w:name="_Toc313893526"/>
      <w:r>
        <w:rPr>
          <w:rFonts w:hint="eastAsia" w:ascii="方正仿宋_GBK" w:eastAsia="方正仿宋_GBK"/>
          <w:sz w:val="24"/>
          <w:szCs w:val="24"/>
        </w:rPr>
        <w:t>一、竞争性谈判内容</w:t>
      </w:r>
      <w:bookmarkEnd w:id="0"/>
      <w:bookmarkEnd w:id="1"/>
      <w:bookmarkEnd w:id="2"/>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1700"/>
        <w:gridCol w:w="994"/>
        <w:gridCol w:w="1274"/>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4219" w:type="dxa"/>
            <w:tcBorders>
              <w:top w:val="single" w:color="auto" w:sz="4" w:space="0"/>
              <w:left w:val="single" w:color="auto" w:sz="4" w:space="0"/>
              <w:right w:val="single" w:color="auto" w:sz="4" w:space="0"/>
            </w:tcBorders>
            <w:noWrap w:val="0"/>
            <w:vAlign w:val="center"/>
          </w:tcPr>
          <w:p>
            <w:pPr>
              <w:widowControl/>
              <w:jc w:val="center"/>
              <w:rPr>
                <w:rFonts w:hint="eastAsia"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项目名称</w:t>
            </w:r>
          </w:p>
        </w:tc>
        <w:tc>
          <w:tcPr>
            <w:tcW w:w="1700" w:type="dxa"/>
            <w:tcBorders>
              <w:top w:val="single" w:color="auto" w:sz="4" w:space="0"/>
              <w:left w:val="single" w:color="auto" w:sz="4" w:space="0"/>
              <w:right w:val="single" w:color="auto" w:sz="4" w:space="0"/>
            </w:tcBorders>
            <w:noWrap w:val="0"/>
            <w:vAlign w:val="center"/>
          </w:tcPr>
          <w:p>
            <w:pPr>
              <w:pStyle w:val="4"/>
              <w:spacing w:line="240" w:lineRule="auto"/>
              <w:ind w:left="0"/>
              <w:jc w:val="center"/>
              <w:outlineLvl w:val="0"/>
              <w:rPr>
                <w:rFonts w:hint="eastAsia" w:ascii="方正仿宋_GBK" w:hAnsi="宋体" w:eastAsia="方正仿宋_GBK"/>
                <w:b/>
                <w:sz w:val="21"/>
                <w:szCs w:val="21"/>
                <w:lang w:eastAsia="zh-CN"/>
              </w:rPr>
            </w:pPr>
            <w:r>
              <w:rPr>
                <w:rFonts w:hint="eastAsia" w:ascii="方正仿宋_GBK" w:hAnsi="宋体" w:eastAsia="方正仿宋_GBK"/>
                <w:b/>
                <w:sz w:val="21"/>
                <w:szCs w:val="21"/>
                <w:lang w:eastAsia="zh-CN"/>
              </w:rPr>
              <w:t>预算金额</w:t>
            </w:r>
          </w:p>
          <w:p>
            <w:pPr>
              <w:jc w:val="center"/>
              <w:rPr>
                <w:rFonts w:hint="eastAsia" w:ascii="方正仿宋_GBK" w:hAnsi="宋体" w:eastAsia="方正仿宋_GBK" w:cs="宋体"/>
                <w:b/>
                <w:bCs/>
                <w:kern w:val="0"/>
                <w:sz w:val="21"/>
                <w:szCs w:val="24"/>
              </w:rPr>
            </w:pPr>
            <w:r>
              <w:rPr>
                <w:rFonts w:hint="eastAsia" w:ascii="方正仿宋_GBK" w:hAnsi="宋体" w:eastAsia="方正仿宋_GBK"/>
                <w:b/>
                <w:sz w:val="21"/>
                <w:szCs w:val="21"/>
              </w:rPr>
              <w:t>（万元）</w:t>
            </w:r>
          </w:p>
        </w:tc>
        <w:tc>
          <w:tcPr>
            <w:tcW w:w="994" w:type="dxa"/>
            <w:tcBorders>
              <w:top w:val="single" w:color="auto" w:sz="4" w:space="0"/>
              <w:left w:val="single" w:color="auto" w:sz="4" w:space="0"/>
              <w:right w:val="single" w:color="auto" w:sz="4" w:space="0"/>
            </w:tcBorders>
            <w:noWrap w:val="0"/>
            <w:vAlign w:val="top"/>
          </w:tcPr>
          <w:p>
            <w:pPr>
              <w:widowControl/>
              <w:jc w:val="center"/>
              <w:rPr>
                <w:rFonts w:hint="eastAsia"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保证金</w:t>
            </w:r>
          </w:p>
          <w:p>
            <w:pPr>
              <w:jc w:val="center"/>
              <w:rPr>
                <w:rFonts w:hint="eastAsia"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（万元）</w:t>
            </w:r>
          </w:p>
        </w:tc>
        <w:tc>
          <w:tcPr>
            <w:tcW w:w="1274" w:type="dxa"/>
            <w:tcBorders>
              <w:top w:val="single" w:color="auto" w:sz="4" w:space="0"/>
              <w:left w:val="single" w:color="auto" w:sz="4" w:space="0"/>
              <w:right w:val="single" w:color="auto" w:sz="4" w:space="0"/>
            </w:tcBorders>
            <w:noWrap w:val="0"/>
            <w:vAlign w:val="top"/>
          </w:tcPr>
          <w:p>
            <w:pPr>
              <w:jc w:val="center"/>
              <w:rPr>
                <w:rFonts w:hint="eastAsia"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成交供应商</w:t>
            </w:r>
          </w:p>
          <w:p>
            <w:pPr>
              <w:jc w:val="center"/>
              <w:rPr>
                <w:rFonts w:hint="eastAsia"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（个）</w:t>
            </w:r>
          </w:p>
        </w:tc>
        <w:tc>
          <w:tcPr>
            <w:tcW w:w="1100" w:type="dxa"/>
            <w:tcBorders>
              <w:top w:val="single" w:color="auto" w:sz="4" w:space="0"/>
              <w:left w:val="single" w:color="auto" w:sz="4" w:space="0"/>
              <w:right w:val="single" w:color="auto" w:sz="4" w:space="0"/>
            </w:tcBorders>
            <w:noWrap w:val="0"/>
            <w:vAlign w:val="center"/>
          </w:tcPr>
          <w:p>
            <w:pPr>
              <w:jc w:val="center"/>
              <w:rPr>
                <w:rFonts w:hint="eastAsia"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42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宋体" w:eastAsia="方正仿宋_GBK" w:cs="宋体"/>
                <w:kern w:val="0"/>
                <w:sz w:val="21"/>
                <w:szCs w:val="24"/>
                <w:highlight w:val="none"/>
                <w:lang w:eastAsia="zh-CN"/>
              </w:rPr>
            </w:pPr>
            <w:bookmarkStart w:id="3" w:name="_Hlk344477914"/>
            <w:r>
              <w:rPr>
                <w:rFonts w:hint="eastAsia" w:ascii="方正仿宋_GBK" w:hAnsi="宋体" w:eastAsia="方正仿宋_GBK" w:cs="宋体"/>
                <w:kern w:val="0"/>
                <w:sz w:val="21"/>
                <w:szCs w:val="24"/>
                <w:highlight w:val="none"/>
                <w:lang w:eastAsia="zh-CN"/>
              </w:rPr>
              <w:t>重庆双福育才中学监控系统采购项目</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方正仿宋_GBK" w:hAnsi="宋体" w:eastAsia="方正仿宋_GBK" w:cs="宋体"/>
                <w:kern w:val="0"/>
                <w:sz w:val="21"/>
                <w:szCs w:val="24"/>
                <w:highlight w:val="none"/>
                <w:lang w:val="en-US" w:eastAsia="zh-CN"/>
              </w:rPr>
            </w:pPr>
            <w:r>
              <w:rPr>
                <w:rFonts w:hint="eastAsia" w:ascii="方正仿宋_GBK" w:hAnsi="宋体" w:eastAsia="方正仿宋_GBK" w:cs="宋体"/>
                <w:kern w:val="0"/>
                <w:sz w:val="21"/>
                <w:szCs w:val="24"/>
                <w:highlight w:val="none"/>
                <w:lang w:val="en-US" w:eastAsia="zh-CN"/>
              </w:rPr>
              <w:t>15</w:t>
            </w:r>
          </w:p>
        </w:tc>
        <w:tc>
          <w:tcPr>
            <w:tcW w:w="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方正仿宋_GBK" w:hAnsi="宋体" w:eastAsia="方正仿宋_GBK"/>
                <w:sz w:val="21"/>
                <w:szCs w:val="21"/>
                <w:highlight w:val="none"/>
                <w:lang w:val="en-US" w:eastAsia="zh-CN"/>
              </w:rPr>
            </w:pPr>
            <w:r>
              <w:rPr>
                <w:rFonts w:hint="eastAsia" w:ascii="方正仿宋_GBK" w:hAnsi="宋体" w:eastAsia="方正仿宋_GBK"/>
                <w:sz w:val="21"/>
                <w:szCs w:val="21"/>
                <w:highlight w:val="none"/>
                <w:lang w:val="en-US" w:eastAsia="zh-CN"/>
              </w:rPr>
              <w:t>0.3</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宋体" w:eastAsia="方正仿宋_GBK"/>
                <w:sz w:val="21"/>
                <w:szCs w:val="21"/>
                <w:highlight w:val="none"/>
              </w:rPr>
            </w:pPr>
            <w:r>
              <w:rPr>
                <w:rFonts w:hint="eastAsia" w:ascii="方正仿宋_GBK" w:hAnsi="宋体" w:eastAsia="方正仿宋_GBK"/>
                <w:sz w:val="21"/>
                <w:szCs w:val="21"/>
                <w:highlight w:val="none"/>
              </w:rPr>
              <w:t>1</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方正仿宋_GBK" w:hAnsi="宋体" w:eastAsia="方正仿宋_GBK"/>
                <w:b/>
                <w:sz w:val="21"/>
                <w:szCs w:val="21"/>
                <w:highlight w:val="none"/>
              </w:rPr>
            </w:pPr>
          </w:p>
        </w:tc>
      </w:tr>
      <w:bookmarkEnd w:id="3"/>
    </w:tbl>
    <w:p>
      <w:pPr>
        <w:pStyle w:val="3"/>
        <w:spacing w:before="0" w:after="0" w:line="400" w:lineRule="exact"/>
        <w:rPr>
          <w:rFonts w:hint="eastAsia" w:ascii="方正仿宋_GBK" w:eastAsia="方正仿宋_GBK"/>
          <w:sz w:val="24"/>
          <w:szCs w:val="24"/>
          <w:highlight w:val="none"/>
        </w:rPr>
      </w:pPr>
      <w:bookmarkStart w:id="4" w:name="_Toc26328"/>
      <w:bookmarkStart w:id="5" w:name="_Toc373860293"/>
      <w:bookmarkStart w:id="6" w:name="_Toc317775178"/>
      <w:r>
        <w:rPr>
          <w:rFonts w:hint="eastAsia" w:ascii="方正仿宋_GBK" w:eastAsia="方正仿宋_GBK"/>
          <w:sz w:val="24"/>
          <w:szCs w:val="24"/>
          <w:highlight w:val="none"/>
        </w:rPr>
        <w:t>二、资金来源</w:t>
      </w:r>
      <w:bookmarkEnd w:id="4"/>
    </w:p>
    <w:p>
      <w:pPr>
        <w:spacing w:line="480" w:lineRule="exact"/>
        <w:ind w:firstLine="480" w:firstLineChars="200"/>
        <w:rPr>
          <w:rFonts w:hint="eastAsia" w:ascii="方正仿宋_GBK" w:hAnsi="宋体" w:eastAsia="方正仿宋_GBK"/>
          <w:sz w:val="24"/>
          <w:szCs w:val="24"/>
        </w:rPr>
      </w:pPr>
      <w:r>
        <w:rPr>
          <w:rFonts w:hint="eastAsia" w:ascii="方正仿宋_GBK" w:hAnsi="仿宋" w:eastAsia="方正仿宋_GBK"/>
          <w:sz w:val="24"/>
          <w:szCs w:val="24"/>
          <w:highlight w:val="none"/>
        </w:rPr>
        <w:t>单位自筹资金，</w:t>
      </w:r>
      <w:r>
        <w:rPr>
          <w:rFonts w:hint="eastAsia" w:ascii="方正仿宋_GBK" w:hAnsi="宋体" w:eastAsia="方正仿宋_GBK"/>
          <w:sz w:val="24"/>
          <w:szCs w:val="24"/>
          <w:highlight w:val="none"/>
        </w:rPr>
        <w:t>采购预算为</w:t>
      </w:r>
      <w:r>
        <w:rPr>
          <w:rFonts w:hint="eastAsia" w:ascii="方正仿宋_GBK" w:hAnsi="宋体" w:eastAsia="方正仿宋_GBK"/>
          <w:sz w:val="24"/>
          <w:szCs w:val="24"/>
          <w:highlight w:val="none"/>
          <w:lang w:val="en-US" w:eastAsia="zh-CN"/>
        </w:rPr>
        <w:t>15</w:t>
      </w:r>
      <w:r>
        <w:rPr>
          <w:rFonts w:hint="eastAsia" w:ascii="方正仿宋_GBK" w:hAnsi="宋体" w:eastAsia="方正仿宋_GBK"/>
          <w:sz w:val="24"/>
          <w:szCs w:val="24"/>
          <w:highlight w:val="none"/>
        </w:rPr>
        <w:t>万元</w:t>
      </w:r>
      <w:r>
        <w:rPr>
          <w:rFonts w:hint="eastAsia" w:ascii="方正仿宋_GBK" w:hAnsi="仿宋" w:eastAsia="方正仿宋_GBK"/>
          <w:sz w:val="24"/>
          <w:szCs w:val="24"/>
          <w:highlight w:val="none"/>
        </w:rPr>
        <w:t>。</w:t>
      </w:r>
    </w:p>
    <w:p>
      <w:pPr>
        <w:pStyle w:val="3"/>
        <w:spacing w:before="0" w:after="0" w:line="400" w:lineRule="exact"/>
        <w:rPr>
          <w:rFonts w:hint="eastAsia" w:ascii="方正仿宋_GBK" w:eastAsia="方正仿宋_GBK"/>
          <w:sz w:val="24"/>
          <w:szCs w:val="24"/>
        </w:rPr>
      </w:pPr>
      <w:bookmarkStart w:id="7" w:name="_Toc30681"/>
      <w:r>
        <w:rPr>
          <w:rFonts w:hint="eastAsia" w:ascii="方正仿宋_GBK" w:eastAsia="方正仿宋_GBK"/>
          <w:sz w:val="24"/>
          <w:szCs w:val="24"/>
        </w:rPr>
        <w:t>三、谈判资格</w:t>
      </w:r>
      <w:bookmarkEnd w:id="7"/>
    </w:p>
    <w:p>
      <w:pPr>
        <w:spacing w:line="4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谈判供应商是指向采购人提供货物、工程或者服务的法人、其他组织或者自然人。以下简称供应商。合格的供应商应首先符合政府采购法第二十二条规定的基本条件，同时符合根据该项目特殊要求设置的特定资格条件。</w:t>
      </w:r>
    </w:p>
    <w:p>
      <w:pPr>
        <w:spacing w:line="4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（一）一般资格条件</w:t>
      </w:r>
    </w:p>
    <w:p>
      <w:pPr>
        <w:spacing w:line="4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1.具有独立承担民事责任的能力；</w:t>
      </w:r>
    </w:p>
    <w:p>
      <w:pPr>
        <w:spacing w:line="4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2.具有良好的商业信誉和健全的财务会计制度；</w:t>
      </w:r>
    </w:p>
    <w:p>
      <w:pPr>
        <w:spacing w:line="4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3.具有履行合同所必需的设备和专业技术能力；</w:t>
      </w:r>
    </w:p>
    <w:p>
      <w:pPr>
        <w:spacing w:line="4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4.有依法缴纳税收和社会保障资金的良好记录；</w:t>
      </w:r>
    </w:p>
    <w:p>
      <w:pPr>
        <w:spacing w:line="4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5.参加政府采购活动前三年内，在经营活动中没有重大违法记录；</w:t>
      </w:r>
    </w:p>
    <w:p>
      <w:pPr>
        <w:spacing w:line="4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6.法律、行政法规规定的其他条件。</w:t>
      </w:r>
    </w:p>
    <w:p>
      <w:pPr>
        <w:spacing w:line="480" w:lineRule="exact"/>
        <w:ind w:firstLine="480" w:firstLineChars="200"/>
        <w:rPr>
          <w:rFonts w:hint="eastAsia" w:ascii="方正仿宋_GBK" w:hAnsi="宋体" w:eastAsia="方正仿宋_GBK"/>
          <w:sz w:val="24"/>
          <w:szCs w:val="24"/>
          <w:highlight w:val="none"/>
        </w:rPr>
      </w:pPr>
      <w:r>
        <w:rPr>
          <w:rFonts w:hint="eastAsia" w:ascii="方正仿宋_GBK" w:hAnsi="宋体" w:eastAsia="方正仿宋_GBK"/>
          <w:sz w:val="24"/>
          <w:szCs w:val="24"/>
          <w:highlight w:val="none"/>
        </w:rPr>
        <w:t>（二）特定资格条件</w:t>
      </w:r>
    </w:p>
    <w:p>
      <w:pPr>
        <w:spacing w:line="480" w:lineRule="exact"/>
        <w:ind w:firstLine="480" w:firstLineChars="200"/>
        <w:rPr>
          <w:rFonts w:hint="eastAsia" w:ascii="方正仿宋_GBK" w:hAnsi="宋体" w:eastAsia="方正仿宋_GBK"/>
          <w:sz w:val="24"/>
          <w:szCs w:val="24"/>
          <w:highlight w:val="none"/>
          <w:lang w:eastAsia="zh-CN"/>
        </w:rPr>
      </w:pPr>
      <w:r>
        <w:rPr>
          <w:rFonts w:hint="eastAsia" w:ascii="方正仿宋_GBK" w:hAnsi="宋体" w:eastAsia="方正仿宋_GBK"/>
          <w:sz w:val="24"/>
          <w:szCs w:val="24"/>
          <w:highlight w:val="none"/>
          <w:lang w:val="en-US" w:eastAsia="zh-CN"/>
        </w:rPr>
        <w:t>1</w:t>
      </w:r>
      <w:r>
        <w:rPr>
          <w:rFonts w:hint="eastAsia" w:ascii="方正仿宋_GBK" w:hAnsi="宋体" w:eastAsia="方正仿宋_GBK"/>
          <w:sz w:val="24"/>
          <w:szCs w:val="24"/>
          <w:highlight w:val="none"/>
        </w:rPr>
        <w:t>、投标人具有有效的“安防工程资质证书”三级及以上的资质证书，提供证书复印件并加盖供应商公章。</w:t>
      </w:r>
      <w:r>
        <w:rPr>
          <w:rFonts w:hint="eastAsia" w:ascii="方正仿宋_GBK" w:hAnsi="宋体" w:eastAsia="方正仿宋_GBK"/>
          <w:sz w:val="24"/>
          <w:szCs w:val="24"/>
          <w:highlight w:val="none"/>
          <w:lang w:eastAsia="zh-CN"/>
        </w:rPr>
        <w:t>（须提供投标人资质证书复印件并加盖投标人鲜章,原件备查）</w:t>
      </w:r>
    </w:p>
    <w:p>
      <w:pPr>
        <w:pStyle w:val="3"/>
        <w:spacing w:before="0" w:after="0" w:line="480" w:lineRule="exact"/>
        <w:rPr>
          <w:rFonts w:hint="eastAsia" w:ascii="方正仿宋_GBK" w:hAnsi="宋体" w:eastAsia="方正仿宋_GBK"/>
          <w:sz w:val="24"/>
          <w:szCs w:val="24"/>
        </w:rPr>
      </w:pPr>
      <w:bookmarkStart w:id="8" w:name="_Toc6108"/>
      <w:r>
        <w:rPr>
          <w:rFonts w:hint="eastAsia" w:ascii="方正仿宋_GBK" w:eastAsia="方正仿宋_GBK"/>
          <w:sz w:val="24"/>
          <w:szCs w:val="24"/>
        </w:rPr>
        <w:t>四、谈判有关说明</w:t>
      </w:r>
      <w:bookmarkEnd w:id="5"/>
      <w:bookmarkEnd w:id="8"/>
    </w:p>
    <w:p>
      <w:pPr>
        <w:snapToGrid w:val="0"/>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w:t>
      </w:r>
      <w:r>
        <w:rPr>
          <w:rFonts w:hint="eastAsia" w:ascii="方正仿宋_GBK" w:hAnsi="宋体" w:eastAsia="方正仿宋_GBK"/>
          <w:sz w:val="24"/>
          <w:szCs w:val="24"/>
          <w:lang w:eastAsia="zh-CN"/>
        </w:rPr>
        <w:t>一</w:t>
      </w:r>
      <w:r>
        <w:rPr>
          <w:rFonts w:hint="eastAsia" w:ascii="方正仿宋_GBK" w:hAnsi="宋体" w:eastAsia="方正仿宋_GBK"/>
          <w:sz w:val="24"/>
          <w:szCs w:val="24"/>
        </w:rPr>
        <w:t>）</w:t>
      </w:r>
      <w:bookmarkStart w:id="9" w:name="OLE_LINK1"/>
      <w:bookmarkStart w:id="10" w:name="OLE_LINK2"/>
      <w:r>
        <w:rPr>
          <w:rFonts w:hint="eastAsia" w:ascii="方正仿宋_GBK" w:hAnsi="宋体" w:eastAsia="方正仿宋_GBK"/>
          <w:sz w:val="24"/>
          <w:szCs w:val="24"/>
        </w:rPr>
        <w:t>凡有意参加谈判的供应商，</w:t>
      </w:r>
      <w:r>
        <w:rPr>
          <w:rFonts w:hint="eastAsia" w:ascii="方正仿宋_GBK" w:hAnsi="宋体" w:eastAsia="方正仿宋_GBK"/>
          <w:sz w:val="24"/>
          <w:szCs w:val="24"/>
          <w:highlight w:val="none"/>
        </w:rPr>
        <w:t>到</w:t>
      </w:r>
      <w:r>
        <w:rPr>
          <w:rFonts w:hint="eastAsia" w:ascii="方正仿宋_GBK" w:hAnsi="宋体" w:eastAsia="方正仿宋_GBK"/>
          <w:sz w:val="24"/>
          <w:szCs w:val="24"/>
          <w:lang w:eastAsia="zh-CN"/>
        </w:rPr>
        <w:t>中捷通信有限公司</w:t>
      </w:r>
      <w:r>
        <w:rPr>
          <w:rFonts w:hint="eastAsia" w:ascii="方正仿宋_GBK" w:hAnsi="宋体" w:eastAsia="方正仿宋_GBK"/>
          <w:sz w:val="24"/>
          <w:szCs w:val="24"/>
        </w:rPr>
        <w:t>领取本项目竞争性谈判文件以及图纸、补遗等谈判前公布的所有项目资料，无论供应商领取与否，均视为已知晓所有谈判实质性要求内容。</w:t>
      </w:r>
      <w:bookmarkEnd w:id="9"/>
      <w:bookmarkEnd w:id="10"/>
    </w:p>
    <w:p>
      <w:pPr>
        <w:snapToGrid w:val="0"/>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w:t>
      </w:r>
      <w:r>
        <w:rPr>
          <w:rFonts w:hint="eastAsia" w:ascii="方正仿宋_GBK" w:hAnsi="宋体" w:eastAsia="方正仿宋_GBK"/>
          <w:sz w:val="24"/>
          <w:szCs w:val="24"/>
          <w:lang w:eastAsia="zh-CN"/>
        </w:rPr>
        <w:t>二</w:t>
      </w:r>
      <w:r>
        <w:rPr>
          <w:rFonts w:hint="eastAsia" w:ascii="方正仿宋_GBK" w:hAnsi="宋体" w:eastAsia="方正仿宋_GBK"/>
          <w:sz w:val="24"/>
          <w:szCs w:val="24"/>
        </w:rPr>
        <w:t>）报名及谈判文件发售</w:t>
      </w:r>
    </w:p>
    <w:p>
      <w:pPr>
        <w:snapToGrid w:val="0"/>
        <w:spacing w:line="380" w:lineRule="exact"/>
        <w:ind w:firstLine="480" w:firstLineChars="200"/>
        <w:rPr>
          <w:rFonts w:hint="eastAsia" w:ascii="方正仿宋_GBK" w:hAnsi="宋体" w:eastAsia="方正仿宋_GBK"/>
          <w:sz w:val="24"/>
          <w:szCs w:val="24"/>
          <w:highlight w:val="none"/>
        </w:rPr>
      </w:pPr>
      <w:r>
        <w:rPr>
          <w:rFonts w:hint="eastAsia" w:ascii="方正仿宋_GBK" w:hAnsi="宋体" w:eastAsia="方正仿宋_GBK"/>
          <w:sz w:val="24"/>
          <w:szCs w:val="24"/>
        </w:rPr>
        <w:t>1.报名和谈判文件发售</w:t>
      </w:r>
      <w:r>
        <w:rPr>
          <w:rFonts w:hint="eastAsia" w:ascii="方正仿宋_GBK" w:hAnsi="宋体" w:eastAsia="方正仿宋_GBK"/>
          <w:sz w:val="24"/>
          <w:szCs w:val="24"/>
          <w:highlight w:val="none"/>
        </w:rPr>
        <w:t>期：20</w:t>
      </w:r>
      <w:r>
        <w:rPr>
          <w:rFonts w:hint="eastAsia" w:ascii="方正仿宋_GBK" w:hAnsi="宋体" w:eastAsia="方正仿宋_GBK"/>
          <w:sz w:val="24"/>
          <w:szCs w:val="24"/>
          <w:highlight w:val="none"/>
          <w:lang w:val="en-US" w:eastAsia="zh-CN"/>
        </w:rPr>
        <w:t>20</w:t>
      </w:r>
      <w:r>
        <w:rPr>
          <w:rFonts w:hint="eastAsia" w:ascii="方正仿宋_GBK" w:hAnsi="宋体" w:eastAsia="方正仿宋_GBK"/>
          <w:sz w:val="24"/>
          <w:szCs w:val="24"/>
          <w:highlight w:val="none"/>
        </w:rPr>
        <w:t>年</w:t>
      </w:r>
      <w:r>
        <w:rPr>
          <w:rFonts w:hint="eastAsia" w:ascii="方正仿宋_GBK" w:hAnsi="宋体" w:eastAsia="方正仿宋_GBK"/>
          <w:sz w:val="24"/>
          <w:szCs w:val="24"/>
          <w:highlight w:val="none"/>
          <w:lang w:val="en-US" w:eastAsia="zh-CN"/>
        </w:rPr>
        <w:t>6</w:t>
      </w:r>
      <w:r>
        <w:rPr>
          <w:rFonts w:hint="eastAsia" w:ascii="方正仿宋_GBK" w:hAnsi="宋体" w:eastAsia="方正仿宋_GBK"/>
          <w:sz w:val="24"/>
          <w:szCs w:val="24"/>
          <w:highlight w:val="none"/>
        </w:rPr>
        <w:t>月</w:t>
      </w:r>
      <w:r>
        <w:rPr>
          <w:rFonts w:hint="eastAsia" w:ascii="方正仿宋_GBK" w:hAnsi="宋体" w:eastAsia="方正仿宋_GBK"/>
          <w:sz w:val="24"/>
          <w:szCs w:val="24"/>
          <w:highlight w:val="none"/>
          <w:lang w:val="en-US" w:eastAsia="zh-CN"/>
        </w:rPr>
        <w:t>22</w:t>
      </w:r>
      <w:r>
        <w:rPr>
          <w:rFonts w:hint="eastAsia" w:ascii="方正仿宋_GBK" w:hAnsi="宋体" w:eastAsia="方正仿宋_GBK"/>
          <w:sz w:val="24"/>
          <w:szCs w:val="24"/>
          <w:highlight w:val="none"/>
        </w:rPr>
        <w:t>日-2019年</w:t>
      </w:r>
      <w:r>
        <w:rPr>
          <w:rFonts w:hint="eastAsia" w:ascii="方正仿宋_GBK" w:hAnsi="宋体" w:eastAsia="方正仿宋_GBK"/>
          <w:sz w:val="24"/>
          <w:szCs w:val="24"/>
          <w:highlight w:val="none"/>
          <w:lang w:val="en-US" w:eastAsia="zh-CN"/>
        </w:rPr>
        <w:t>6</w:t>
      </w:r>
      <w:r>
        <w:rPr>
          <w:rFonts w:hint="eastAsia" w:ascii="方正仿宋_GBK" w:hAnsi="宋体" w:eastAsia="方正仿宋_GBK"/>
          <w:sz w:val="24"/>
          <w:szCs w:val="24"/>
          <w:highlight w:val="none"/>
        </w:rPr>
        <w:t>月</w:t>
      </w:r>
      <w:r>
        <w:rPr>
          <w:rFonts w:hint="eastAsia" w:ascii="方正仿宋_GBK" w:hAnsi="宋体" w:eastAsia="方正仿宋_GBK"/>
          <w:sz w:val="24"/>
          <w:szCs w:val="24"/>
          <w:highlight w:val="none"/>
          <w:lang w:val="en-US" w:eastAsia="zh-CN"/>
        </w:rPr>
        <w:t>28</w:t>
      </w:r>
      <w:r>
        <w:rPr>
          <w:rFonts w:hint="eastAsia" w:ascii="方正仿宋_GBK" w:hAnsi="宋体" w:eastAsia="方正仿宋_GBK"/>
          <w:sz w:val="24"/>
          <w:szCs w:val="24"/>
          <w:highlight w:val="none"/>
        </w:rPr>
        <w:t>日17:00（工作时间）</w:t>
      </w:r>
    </w:p>
    <w:p>
      <w:pPr>
        <w:snapToGrid w:val="0"/>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2.谈判文件售价：人民币</w:t>
      </w:r>
      <w:r>
        <w:rPr>
          <w:rFonts w:hint="eastAsia" w:ascii="方正仿宋_GBK" w:hAnsi="宋体" w:eastAsia="方正仿宋_GBK"/>
          <w:sz w:val="24"/>
          <w:szCs w:val="24"/>
          <w:lang w:val="en-US" w:eastAsia="zh-CN"/>
        </w:rPr>
        <w:t>300</w:t>
      </w:r>
      <w:r>
        <w:rPr>
          <w:rFonts w:hint="eastAsia" w:ascii="方正仿宋_GBK" w:hAnsi="宋体" w:eastAsia="方正仿宋_GBK"/>
          <w:sz w:val="24"/>
          <w:szCs w:val="24"/>
        </w:rPr>
        <w:t>元/份（售后不退）</w:t>
      </w:r>
    </w:p>
    <w:p>
      <w:pPr>
        <w:snapToGrid w:val="0"/>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2.1谈判文件购买方式</w:t>
      </w:r>
    </w:p>
    <w:p>
      <w:pPr>
        <w:snapToGrid w:val="0"/>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2.1.1现金购买</w:t>
      </w:r>
    </w:p>
    <w:p>
      <w:pPr>
        <w:snapToGrid w:val="0"/>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在谈判文件发售期内，供应商到重庆市</w:t>
      </w:r>
      <w:r>
        <w:rPr>
          <w:rFonts w:hint="eastAsia" w:ascii="方正仿宋_GBK" w:hAnsi="宋体" w:eastAsia="方正仿宋_GBK"/>
          <w:sz w:val="24"/>
          <w:szCs w:val="24"/>
          <w:lang w:eastAsia="zh-CN"/>
        </w:rPr>
        <w:t>渝北区黄山大道中段</w:t>
      </w:r>
      <w:r>
        <w:rPr>
          <w:rFonts w:hint="eastAsia" w:ascii="方正仿宋_GBK" w:hAnsi="宋体" w:eastAsia="方正仿宋_GBK"/>
          <w:sz w:val="24"/>
          <w:szCs w:val="24"/>
          <w:lang w:val="en-US" w:eastAsia="zh-CN"/>
        </w:rPr>
        <w:t>67号信达国际B座804室</w:t>
      </w:r>
      <w:r>
        <w:rPr>
          <w:rFonts w:hint="eastAsia" w:ascii="方正仿宋_GBK" w:hAnsi="宋体" w:eastAsia="方正仿宋_GBK"/>
          <w:sz w:val="24"/>
          <w:szCs w:val="24"/>
        </w:rPr>
        <w:t>，递交《采购文件发售登记表》（加盖供应商公章）并购买谈判文件。</w:t>
      </w:r>
    </w:p>
    <w:p>
      <w:pPr>
        <w:snapToGrid w:val="0"/>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3.在报名和谈判文件发售期内购买了谈判文件的供应商，其报名才被接收。</w:t>
      </w:r>
    </w:p>
    <w:p>
      <w:pPr>
        <w:snapToGrid w:val="0"/>
        <w:spacing w:line="380" w:lineRule="exact"/>
        <w:ind w:firstLine="480" w:firstLineChars="200"/>
        <w:rPr>
          <w:rFonts w:hint="eastAsia" w:ascii="方正仿宋_GBK" w:hAnsi="宋体" w:eastAsia="方正仿宋_GBK"/>
          <w:sz w:val="24"/>
          <w:szCs w:val="24"/>
          <w:highlight w:val="none"/>
        </w:rPr>
      </w:pPr>
      <w:r>
        <w:rPr>
          <w:rFonts w:hint="eastAsia" w:ascii="方正仿宋_GBK" w:hAnsi="宋体" w:eastAsia="方正仿宋_GBK"/>
          <w:sz w:val="24"/>
          <w:szCs w:val="24"/>
        </w:rPr>
        <w:t>（</w:t>
      </w:r>
      <w:r>
        <w:rPr>
          <w:rFonts w:hint="eastAsia" w:ascii="方正仿宋_GBK" w:hAnsi="宋体" w:eastAsia="方正仿宋_GBK"/>
          <w:sz w:val="24"/>
          <w:szCs w:val="24"/>
          <w:lang w:eastAsia="zh-CN"/>
        </w:rPr>
        <w:t>三</w:t>
      </w:r>
      <w:r>
        <w:rPr>
          <w:rFonts w:hint="eastAsia" w:ascii="方正仿宋_GBK" w:hAnsi="宋体" w:eastAsia="方正仿宋_GBK"/>
          <w:sz w:val="24"/>
          <w:szCs w:val="24"/>
        </w:rPr>
        <w:t>）谈判地点</w:t>
      </w:r>
      <w:r>
        <w:rPr>
          <w:rFonts w:hint="eastAsia" w:ascii="方正仿宋_GBK" w:hAnsi="宋体" w:eastAsia="方正仿宋_GBK"/>
          <w:sz w:val="24"/>
          <w:szCs w:val="24"/>
          <w:highlight w:val="none"/>
        </w:rPr>
        <w:t>：</w:t>
      </w:r>
      <w:r>
        <w:rPr>
          <w:rFonts w:hint="eastAsia" w:ascii="方正仿宋_GBK" w:hAnsi="宋体" w:eastAsia="方正仿宋_GBK"/>
          <w:sz w:val="24"/>
          <w:szCs w:val="24"/>
        </w:rPr>
        <w:t>重庆市</w:t>
      </w:r>
      <w:r>
        <w:rPr>
          <w:rFonts w:hint="eastAsia" w:ascii="方正仿宋_GBK" w:hAnsi="宋体" w:eastAsia="方正仿宋_GBK"/>
          <w:sz w:val="24"/>
          <w:szCs w:val="24"/>
          <w:lang w:eastAsia="zh-CN"/>
        </w:rPr>
        <w:t>渝北区黄山大道中段</w:t>
      </w:r>
      <w:r>
        <w:rPr>
          <w:rFonts w:hint="eastAsia" w:ascii="方正仿宋_GBK" w:hAnsi="宋体" w:eastAsia="方正仿宋_GBK"/>
          <w:sz w:val="24"/>
          <w:szCs w:val="24"/>
          <w:lang w:val="en-US" w:eastAsia="zh-CN"/>
        </w:rPr>
        <w:t>67号信达国际B座804室</w:t>
      </w:r>
    </w:p>
    <w:p>
      <w:pPr>
        <w:snapToGrid w:val="0"/>
        <w:spacing w:line="380" w:lineRule="exact"/>
        <w:ind w:firstLine="480" w:firstLineChars="200"/>
        <w:rPr>
          <w:rFonts w:hint="eastAsia" w:ascii="方正仿宋_GBK" w:hAnsi="宋体" w:eastAsia="方正仿宋_GBK"/>
          <w:sz w:val="24"/>
          <w:szCs w:val="24"/>
          <w:highlight w:val="none"/>
        </w:rPr>
      </w:pPr>
      <w:r>
        <w:rPr>
          <w:rFonts w:hint="eastAsia" w:ascii="方正仿宋_GBK" w:hAnsi="宋体" w:eastAsia="方正仿宋_GBK"/>
          <w:sz w:val="24"/>
          <w:szCs w:val="24"/>
          <w:highlight w:val="none"/>
        </w:rPr>
        <w:t>（</w:t>
      </w:r>
      <w:r>
        <w:rPr>
          <w:rFonts w:hint="eastAsia" w:ascii="方正仿宋_GBK" w:hAnsi="宋体" w:eastAsia="方正仿宋_GBK"/>
          <w:sz w:val="24"/>
          <w:szCs w:val="24"/>
          <w:highlight w:val="none"/>
          <w:lang w:eastAsia="zh-CN"/>
        </w:rPr>
        <w:t>四</w:t>
      </w:r>
      <w:r>
        <w:rPr>
          <w:rFonts w:hint="eastAsia" w:ascii="方正仿宋_GBK" w:hAnsi="宋体" w:eastAsia="方正仿宋_GBK"/>
          <w:sz w:val="24"/>
          <w:szCs w:val="24"/>
          <w:highlight w:val="none"/>
        </w:rPr>
        <w:t>）提交响应文件截止时间：20</w:t>
      </w:r>
      <w:r>
        <w:rPr>
          <w:rFonts w:hint="eastAsia" w:ascii="方正仿宋_GBK" w:hAnsi="宋体" w:eastAsia="方正仿宋_GBK"/>
          <w:sz w:val="24"/>
          <w:szCs w:val="24"/>
          <w:highlight w:val="none"/>
          <w:lang w:val="en-US" w:eastAsia="zh-CN"/>
        </w:rPr>
        <w:t>20</w:t>
      </w:r>
      <w:r>
        <w:rPr>
          <w:rFonts w:hint="eastAsia" w:ascii="方正仿宋_GBK" w:hAnsi="宋体" w:eastAsia="方正仿宋_GBK"/>
          <w:sz w:val="24"/>
          <w:szCs w:val="24"/>
          <w:highlight w:val="none"/>
        </w:rPr>
        <w:t>年</w:t>
      </w:r>
      <w:r>
        <w:rPr>
          <w:rFonts w:hint="eastAsia" w:ascii="方正仿宋_GBK" w:hAnsi="宋体" w:eastAsia="方正仿宋_GBK"/>
          <w:sz w:val="24"/>
          <w:szCs w:val="24"/>
          <w:highlight w:val="none"/>
          <w:lang w:val="en-US" w:eastAsia="zh-CN"/>
        </w:rPr>
        <w:t>7</w:t>
      </w:r>
      <w:r>
        <w:rPr>
          <w:rFonts w:hint="eastAsia" w:ascii="方正仿宋_GBK" w:hAnsi="宋体" w:eastAsia="方正仿宋_GBK"/>
          <w:sz w:val="24"/>
          <w:szCs w:val="24"/>
          <w:highlight w:val="none"/>
        </w:rPr>
        <w:t>月</w:t>
      </w:r>
      <w:r>
        <w:rPr>
          <w:rFonts w:hint="eastAsia" w:ascii="方正仿宋_GBK" w:hAnsi="宋体" w:eastAsia="方正仿宋_GBK"/>
          <w:sz w:val="24"/>
          <w:szCs w:val="24"/>
          <w:highlight w:val="none"/>
          <w:lang w:val="en-US" w:eastAsia="zh-CN"/>
        </w:rPr>
        <w:t>1</w:t>
      </w:r>
      <w:r>
        <w:rPr>
          <w:rFonts w:hint="eastAsia" w:ascii="方正仿宋_GBK" w:hAnsi="宋体" w:eastAsia="方正仿宋_GBK"/>
          <w:sz w:val="24"/>
          <w:szCs w:val="24"/>
          <w:highlight w:val="none"/>
        </w:rPr>
        <w:t>日北京时间1</w:t>
      </w:r>
      <w:r>
        <w:rPr>
          <w:rFonts w:hint="eastAsia" w:ascii="方正仿宋_GBK" w:hAnsi="宋体" w:eastAsia="方正仿宋_GBK"/>
          <w:sz w:val="24"/>
          <w:szCs w:val="24"/>
          <w:highlight w:val="none"/>
          <w:lang w:val="en-US" w:eastAsia="zh-CN"/>
        </w:rPr>
        <w:t>4</w:t>
      </w:r>
      <w:r>
        <w:rPr>
          <w:rFonts w:hint="eastAsia" w:ascii="方正仿宋_GBK" w:hAnsi="宋体" w:eastAsia="方正仿宋_GBK"/>
          <w:sz w:val="24"/>
          <w:szCs w:val="24"/>
          <w:highlight w:val="none"/>
        </w:rPr>
        <w:t>:</w:t>
      </w:r>
      <w:r>
        <w:rPr>
          <w:rFonts w:hint="eastAsia" w:ascii="方正仿宋_GBK" w:hAnsi="宋体" w:eastAsia="方正仿宋_GBK"/>
          <w:sz w:val="24"/>
          <w:szCs w:val="24"/>
          <w:highlight w:val="none"/>
          <w:lang w:val="en-US" w:eastAsia="zh-CN"/>
        </w:rPr>
        <w:t>0</w:t>
      </w:r>
      <w:r>
        <w:rPr>
          <w:rFonts w:hint="eastAsia" w:ascii="方正仿宋_GBK" w:hAnsi="宋体" w:eastAsia="方正仿宋_GBK"/>
          <w:sz w:val="24"/>
          <w:szCs w:val="24"/>
          <w:highlight w:val="none"/>
        </w:rPr>
        <w:t>0</w:t>
      </w:r>
    </w:p>
    <w:p>
      <w:pPr>
        <w:spacing w:line="380" w:lineRule="exact"/>
        <w:ind w:firstLine="480" w:firstLineChars="200"/>
        <w:rPr>
          <w:rFonts w:hint="eastAsia" w:ascii="方正仿宋_GBK" w:hAnsi="宋体" w:eastAsia="方正仿宋_GBK"/>
          <w:sz w:val="24"/>
          <w:szCs w:val="24"/>
          <w:highlight w:val="none"/>
        </w:rPr>
      </w:pPr>
      <w:r>
        <w:rPr>
          <w:rFonts w:hint="eastAsia" w:ascii="方正仿宋_GBK" w:hAnsi="宋体" w:eastAsia="方正仿宋_GBK"/>
          <w:sz w:val="24"/>
          <w:szCs w:val="24"/>
          <w:highlight w:val="none"/>
        </w:rPr>
        <w:t>（</w:t>
      </w:r>
      <w:r>
        <w:rPr>
          <w:rFonts w:hint="eastAsia" w:ascii="方正仿宋_GBK" w:hAnsi="宋体" w:eastAsia="方正仿宋_GBK"/>
          <w:sz w:val="24"/>
          <w:szCs w:val="24"/>
          <w:highlight w:val="none"/>
          <w:lang w:eastAsia="zh-CN"/>
        </w:rPr>
        <w:t>五</w:t>
      </w:r>
      <w:r>
        <w:rPr>
          <w:rFonts w:hint="eastAsia" w:ascii="方正仿宋_GBK" w:hAnsi="宋体" w:eastAsia="方正仿宋_GBK"/>
          <w:sz w:val="24"/>
          <w:szCs w:val="24"/>
          <w:highlight w:val="none"/>
        </w:rPr>
        <w:t>）谈判开始时间：20</w:t>
      </w:r>
      <w:r>
        <w:rPr>
          <w:rFonts w:hint="eastAsia" w:ascii="方正仿宋_GBK" w:hAnsi="宋体" w:eastAsia="方正仿宋_GBK"/>
          <w:sz w:val="24"/>
          <w:szCs w:val="24"/>
          <w:highlight w:val="none"/>
          <w:lang w:val="en-US" w:eastAsia="zh-CN"/>
        </w:rPr>
        <w:t>20</w:t>
      </w:r>
      <w:r>
        <w:rPr>
          <w:rFonts w:hint="eastAsia" w:ascii="方正仿宋_GBK" w:hAnsi="宋体" w:eastAsia="方正仿宋_GBK"/>
          <w:sz w:val="24"/>
          <w:szCs w:val="24"/>
          <w:highlight w:val="none"/>
        </w:rPr>
        <w:t>年</w:t>
      </w:r>
      <w:r>
        <w:rPr>
          <w:rFonts w:hint="eastAsia" w:ascii="方正仿宋_GBK" w:hAnsi="宋体" w:eastAsia="方正仿宋_GBK"/>
          <w:sz w:val="24"/>
          <w:szCs w:val="24"/>
          <w:highlight w:val="none"/>
          <w:lang w:val="en-US" w:eastAsia="zh-CN"/>
        </w:rPr>
        <w:t>7</w:t>
      </w:r>
      <w:r>
        <w:rPr>
          <w:rFonts w:hint="eastAsia" w:ascii="方正仿宋_GBK" w:hAnsi="宋体" w:eastAsia="方正仿宋_GBK"/>
          <w:sz w:val="24"/>
          <w:szCs w:val="24"/>
          <w:highlight w:val="none"/>
        </w:rPr>
        <w:t>月</w:t>
      </w:r>
      <w:r>
        <w:rPr>
          <w:rFonts w:hint="eastAsia" w:ascii="方正仿宋_GBK" w:hAnsi="宋体" w:eastAsia="方正仿宋_GBK"/>
          <w:sz w:val="24"/>
          <w:szCs w:val="24"/>
          <w:highlight w:val="none"/>
          <w:lang w:val="en-US" w:eastAsia="zh-CN"/>
        </w:rPr>
        <w:t>1</w:t>
      </w:r>
      <w:r>
        <w:rPr>
          <w:rFonts w:hint="eastAsia" w:ascii="方正仿宋_GBK" w:hAnsi="宋体" w:eastAsia="方正仿宋_GBK"/>
          <w:sz w:val="24"/>
          <w:szCs w:val="24"/>
          <w:highlight w:val="none"/>
        </w:rPr>
        <w:t>日北京时间1</w:t>
      </w:r>
      <w:r>
        <w:rPr>
          <w:rFonts w:hint="eastAsia" w:ascii="方正仿宋_GBK" w:hAnsi="宋体" w:eastAsia="方正仿宋_GBK"/>
          <w:sz w:val="24"/>
          <w:szCs w:val="24"/>
          <w:highlight w:val="none"/>
          <w:lang w:val="en-US" w:eastAsia="zh-CN"/>
        </w:rPr>
        <w:t>4</w:t>
      </w:r>
      <w:r>
        <w:rPr>
          <w:rFonts w:hint="eastAsia" w:ascii="方正仿宋_GBK" w:hAnsi="宋体" w:eastAsia="方正仿宋_GBK"/>
          <w:sz w:val="24"/>
          <w:szCs w:val="24"/>
          <w:highlight w:val="none"/>
        </w:rPr>
        <w:t>:</w:t>
      </w:r>
      <w:r>
        <w:rPr>
          <w:rFonts w:hint="eastAsia" w:ascii="方正仿宋_GBK" w:hAnsi="宋体" w:eastAsia="方正仿宋_GBK"/>
          <w:sz w:val="24"/>
          <w:szCs w:val="24"/>
          <w:highlight w:val="none"/>
          <w:lang w:val="en-US" w:eastAsia="zh-CN"/>
        </w:rPr>
        <w:t>0</w:t>
      </w:r>
      <w:r>
        <w:rPr>
          <w:rFonts w:hint="eastAsia" w:ascii="方正仿宋_GBK" w:hAnsi="宋体" w:eastAsia="方正仿宋_GBK"/>
          <w:sz w:val="24"/>
          <w:szCs w:val="24"/>
          <w:highlight w:val="none"/>
        </w:rPr>
        <w:t>0</w:t>
      </w:r>
    </w:p>
    <w:bookmarkEnd w:id="6"/>
    <w:p>
      <w:pPr>
        <w:pStyle w:val="3"/>
        <w:spacing w:before="0" w:after="0" w:line="380" w:lineRule="exact"/>
        <w:rPr>
          <w:rFonts w:hint="eastAsia" w:ascii="方正仿宋_GBK" w:eastAsia="方正仿宋_GBK"/>
          <w:sz w:val="24"/>
          <w:szCs w:val="24"/>
          <w:highlight w:val="none"/>
        </w:rPr>
      </w:pPr>
      <w:bookmarkStart w:id="11" w:name="_Toc525047161"/>
      <w:bookmarkStart w:id="12" w:name="_Toc4847"/>
      <w:bookmarkStart w:id="13" w:name="_Toc373860294"/>
      <w:bookmarkStart w:id="14" w:name="_Toc521053053"/>
      <w:r>
        <w:rPr>
          <w:rFonts w:hint="eastAsia" w:ascii="方正仿宋_GBK" w:eastAsia="方正仿宋_GBK"/>
          <w:sz w:val="24"/>
          <w:szCs w:val="24"/>
          <w:highlight w:val="none"/>
        </w:rPr>
        <w:t>五、保证金</w:t>
      </w:r>
      <w:bookmarkEnd w:id="11"/>
      <w:bookmarkEnd w:id="12"/>
      <w:bookmarkEnd w:id="13"/>
      <w:bookmarkEnd w:id="14"/>
    </w:p>
    <w:p>
      <w:pPr>
        <w:snapToGrid w:val="0"/>
        <w:spacing w:line="380" w:lineRule="exact"/>
        <w:ind w:firstLine="480" w:firstLineChars="200"/>
        <w:rPr>
          <w:rFonts w:hint="eastAsia" w:ascii="方正仿宋_GBK" w:hAnsi="宋体" w:eastAsia="方正仿宋_GBK"/>
          <w:sz w:val="24"/>
          <w:szCs w:val="24"/>
          <w:highlight w:val="none"/>
        </w:rPr>
      </w:pPr>
      <w:r>
        <w:rPr>
          <w:rFonts w:hint="eastAsia" w:ascii="方正仿宋_GBK" w:hAnsi="宋体" w:eastAsia="方正仿宋_GBK"/>
          <w:sz w:val="24"/>
          <w:szCs w:val="24"/>
          <w:highlight w:val="none"/>
        </w:rPr>
        <w:t>供应商须按本项目规定的谈判保证金金额进行缴纳（保证金金额详见本篇，一、竞争性谈判内容），由供应商从其基本账户将保证金汇至以下账户，保证金的到账截止时间为谈判开始时间。</w:t>
      </w:r>
    </w:p>
    <w:p>
      <w:pPr>
        <w:snapToGrid w:val="0"/>
        <w:spacing w:line="380" w:lineRule="exact"/>
        <w:ind w:firstLine="480" w:firstLineChars="200"/>
        <w:rPr>
          <w:rFonts w:hint="eastAsia" w:ascii="方正仿宋_GBK" w:hAnsi="宋体" w:eastAsia="方正仿宋_GBK"/>
          <w:sz w:val="24"/>
          <w:szCs w:val="24"/>
          <w:highlight w:val="none"/>
        </w:rPr>
      </w:pPr>
      <w:r>
        <w:rPr>
          <w:rFonts w:hint="eastAsia" w:ascii="方正仿宋_GBK" w:hAnsi="宋体" w:eastAsia="方正仿宋_GBK"/>
          <w:sz w:val="24"/>
          <w:szCs w:val="24"/>
          <w:highlight w:val="none"/>
        </w:rPr>
        <w:t>竞争性谈判缴纳保证金账户</w:t>
      </w:r>
    </w:p>
    <w:p>
      <w:pPr>
        <w:snapToGrid w:val="0"/>
        <w:spacing w:line="380" w:lineRule="exact"/>
        <w:ind w:firstLine="480" w:firstLineChars="200"/>
        <w:rPr>
          <w:rFonts w:hint="eastAsia" w:ascii="方正仿宋_GBK" w:hAnsi="宋体" w:eastAsia="方正仿宋_GBK"/>
          <w:b/>
          <w:bCs/>
          <w:sz w:val="24"/>
          <w:szCs w:val="24"/>
          <w:highlight w:val="none"/>
          <w:lang w:eastAsia="zh-CN"/>
        </w:rPr>
      </w:pPr>
      <w:r>
        <w:rPr>
          <w:rFonts w:hint="eastAsia" w:ascii="方正仿宋_GBK" w:hAnsi="宋体" w:eastAsia="方正仿宋_GBK"/>
          <w:b/>
          <w:bCs/>
          <w:sz w:val="24"/>
          <w:szCs w:val="24"/>
          <w:highlight w:val="none"/>
        </w:rPr>
        <w:t>户  名：</w:t>
      </w:r>
      <w:r>
        <w:rPr>
          <w:rFonts w:hint="eastAsia" w:ascii="方正仿宋_GBK" w:hAnsi="宋体" w:eastAsia="方正仿宋_GBK"/>
          <w:b/>
          <w:bCs/>
          <w:sz w:val="24"/>
          <w:szCs w:val="24"/>
          <w:highlight w:val="none"/>
          <w:lang w:eastAsia="zh-CN"/>
        </w:rPr>
        <w:t>中捷通信有限公司</w:t>
      </w:r>
    </w:p>
    <w:p>
      <w:pPr>
        <w:snapToGrid w:val="0"/>
        <w:spacing w:line="380" w:lineRule="exact"/>
        <w:ind w:firstLine="480" w:firstLineChars="200"/>
        <w:rPr>
          <w:rFonts w:hint="eastAsia" w:ascii="方正仿宋_GBK" w:hAnsi="宋体" w:eastAsia="方正仿宋_GBK"/>
          <w:b/>
          <w:bCs/>
          <w:sz w:val="24"/>
          <w:szCs w:val="24"/>
          <w:highlight w:val="none"/>
          <w:lang w:eastAsia="zh-CN"/>
        </w:rPr>
      </w:pPr>
      <w:r>
        <w:rPr>
          <w:rFonts w:hint="eastAsia" w:ascii="方正仿宋_GBK" w:hAnsi="宋体" w:eastAsia="方正仿宋_GBK"/>
          <w:b/>
          <w:bCs/>
          <w:sz w:val="24"/>
          <w:szCs w:val="24"/>
          <w:highlight w:val="none"/>
        </w:rPr>
        <w:t>开户行：</w:t>
      </w:r>
      <w:r>
        <w:rPr>
          <w:rFonts w:hint="eastAsia" w:ascii="方正仿宋_GBK" w:hAnsi="宋体" w:eastAsia="方正仿宋_GBK"/>
          <w:b/>
          <w:bCs/>
          <w:sz w:val="24"/>
          <w:szCs w:val="24"/>
          <w:highlight w:val="none"/>
          <w:lang w:eastAsia="zh-CN"/>
        </w:rPr>
        <w:t>中信银行广州花园支行</w:t>
      </w:r>
    </w:p>
    <w:p>
      <w:pPr>
        <w:snapToGrid w:val="0"/>
        <w:spacing w:line="380" w:lineRule="exact"/>
        <w:ind w:firstLine="480" w:firstLineChars="200"/>
        <w:rPr>
          <w:rFonts w:hint="eastAsia" w:ascii="方正仿宋_GBK" w:hAnsi="宋体" w:eastAsia="方正仿宋_GBK"/>
          <w:b/>
          <w:bCs/>
          <w:sz w:val="24"/>
          <w:szCs w:val="24"/>
          <w:highlight w:val="yellow"/>
          <w:lang w:val="en-US" w:eastAsia="zh-CN"/>
        </w:rPr>
      </w:pPr>
      <w:r>
        <w:rPr>
          <w:rFonts w:hint="eastAsia" w:ascii="方正仿宋_GBK" w:hAnsi="宋体" w:eastAsia="方正仿宋_GBK"/>
          <w:b/>
          <w:bCs/>
          <w:sz w:val="24"/>
          <w:szCs w:val="24"/>
          <w:highlight w:val="none"/>
        </w:rPr>
        <w:t>账  号：3110910043853807053</w:t>
      </w:r>
    </w:p>
    <w:p>
      <w:pPr>
        <w:snapToGrid w:val="0"/>
        <w:spacing w:line="380" w:lineRule="exact"/>
        <w:rPr>
          <w:rFonts w:hint="eastAsia" w:ascii="方正仿宋_GBK" w:hAnsi="宋体" w:eastAsia="方正仿宋_GBK"/>
          <w:b/>
          <w:bCs/>
          <w:sz w:val="24"/>
          <w:szCs w:val="24"/>
          <w:highlight w:val="yellow"/>
          <w:lang w:val="en-US" w:eastAsia="zh-CN"/>
        </w:rPr>
      </w:pPr>
      <w:r>
        <w:rPr>
          <w:rFonts w:hint="eastAsia" w:ascii="方正仿宋_GBK" w:hAnsi="宋体" w:eastAsia="方正仿宋_GBK"/>
          <w:b/>
          <w:bCs/>
          <w:sz w:val="24"/>
          <w:szCs w:val="24"/>
        </w:rPr>
        <w:t>注：为保证评标委员会核实保证金信息的准确性，供应商在缴纳保证金前需在中捷通信有限公司电子招投标平台注册供应商信息。（注册网址：http://www.zjscs.net:81/，注册联系人：何嘉欣，电子邮箱：2959505405@qq.com，联系电话：020-83806127、020-83820346）</w:t>
      </w:r>
    </w:p>
    <w:p>
      <w:pPr>
        <w:pStyle w:val="3"/>
        <w:spacing w:before="0" w:after="0" w:line="380" w:lineRule="exact"/>
        <w:rPr>
          <w:rFonts w:hint="eastAsia" w:ascii="方正仿宋_GBK" w:eastAsia="方正仿宋_GBK"/>
          <w:sz w:val="24"/>
          <w:szCs w:val="24"/>
        </w:rPr>
      </w:pPr>
      <w:bookmarkStart w:id="15" w:name="_Toc21464"/>
      <w:bookmarkStart w:id="16" w:name="_Toc521053054"/>
      <w:bookmarkStart w:id="17" w:name="_Toc525047162"/>
      <w:bookmarkStart w:id="18" w:name="_Toc479668114"/>
      <w:r>
        <w:rPr>
          <w:rFonts w:hint="eastAsia" w:ascii="方正仿宋_GBK" w:eastAsia="方正仿宋_GBK"/>
          <w:sz w:val="24"/>
          <w:szCs w:val="24"/>
        </w:rPr>
        <w:t>六、采购项目需落实的政府采购政策</w:t>
      </w:r>
      <w:bookmarkEnd w:id="15"/>
      <w:bookmarkEnd w:id="16"/>
      <w:bookmarkEnd w:id="17"/>
      <w:bookmarkEnd w:id="18"/>
    </w:p>
    <w:p>
      <w:pPr>
        <w:snapToGrid w:val="0"/>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（一）按照《财政部 国家发展改革委关于印发&lt;节能产品政府采购实施意见&gt;的通知》（财库〔2004</w:t>
      </w:r>
      <w:r>
        <w:rPr>
          <w:rFonts w:ascii="方正仿宋_GBK" w:hAnsi="宋体" w:eastAsia="方正仿宋_GBK"/>
          <w:sz w:val="24"/>
          <w:szCs w:val="24"/>
        </w:rPr>
        <w:t>〕</w:t>
      </w:r>
      <w:r>
        <w:rPr>
          <w:rFonts w:hint="eastAsia" w:ascii="方正仿宋_GBK" w:hAnsi="宋体" w:eastAsia="方正仿宋_GBK"/>
          <w:sz w:val="24"/>
          <w:szCs w:val="24"/>
        </w:rPr>
        <w:t>185号）、《财政部 国家环保总局联合印发&lt;关于环境标志产品政府采购实施的意见&gt;》（财库〔2006</w:t>
      </w:r>
      <w:r>
        <w:rPr>
          <w:rFonts w:ascii="方正仿宋_GBK" w:hAnsi="宋体" w:eastAsia="方正仿宋_GBK"/>
          <w:sz w:val="24"/>
          <w:szCs w:val="24"/>
        </w:rPr>
        <w:t>〕</w:t>
      </w:r>
      <w:r>
        <w:rPr>
          <w:rFonts w:hint="eastAsia" w:ascii="方正仿宋_GBK" w:hAnsi="宋体" w:eastAsia="方正仿宋_GBK"/>
          <w:sz w:val="24"/>
          <w:szCs w:val="24"/>
        </w:rPr>
        <w:t>90号）的规定，落实国家节能环保政策。</w:t>
      </w:r>
    </w:p>
    <w:p>
      <w:pPr>
        <w:snapToGrid w:val="0"/>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（二）按照《财政部 工业和信息化部关于印发&lt;政府采购促进中小企业发展暂行办法&gt;的通知》（财库〔2011〕181号）的规定，落实促进中小企业发展政策。</w:t>
      </w:r>
    </w:p>
    <w:p>
      <w:pPr>
        <w:snapToGrid w:val="0"/>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（三）按照《财政部、司法部关于政府采购支持监狱企业发展有关问题的通知》（财库〔2014〕68号）的规定，落实支持监狱企业发展政策。</w:t>
      </w:r>
    </w:p>
    <w:p>
      <w:pPr>
        <w:snapToGrid w:val="0"/>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（四）按照《三部门联合发布关于促进残疾人就业政府采购政策的通知》（财库〔2017〕 141号）的规定，落实支持残疾人福利性单位发展政策。</w:t>
      </w:r>
    </w:p>
    <w:p>
      <w:pPr>
        <w:pStyle w:val="3"/>
        <w:spacing w:before="0" w:after="0" w:line="380" w:lineRule="exact"/>
        <w:rPr>
          <w:rFonts w:hint="eastAsia" w:ascii="方正仿宋_GBK" w:eastAsia="方正仿宋_GBK"/>
          <w:sz w:val="24"/>
          <w:szCs w:val="24"/>
        </w:rPr>
      </w:pPr>
      <w:bookmarkStart w:id="19" w:name="_Toc28776"/>
      <w:bookmarkStart w:id="20" w:name="_Toc521053055"/>
      <w:bookmarkStart w:id="21" w:name="_Toc525047163"/>
      <w:r>
        <w:rPr>
          <w:rFonts w:hint="eastAsia" w:ascii="方正仿宋_GBK" w:eastAsia="方正仿宋_GBK"/>
          <w:sz w:val="24"/>
          <w:szCs w:val="24"/>
        </w:rPr>
        <w:t>七、其它有关规定</w:t>
      </w:r>
      <w:bookmarkEnd w:id="19"/>
      <w:bookmarkEnd w:id="20"/>
      <w:bookmarkEnd w:id="21"/>
    </w:p>
    <w:p>
      <w:pPr>
        <w:snapToGrid w:val="0"/>
        <w:spacing w:line="38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（一）单位负责人为同一人或者存在直接控股、管理关系的不同供应商，</w:t>
      </w:r>
      <w:r>
        <w:rPr>
          <w:rFonts w:ascii="方正仿宋_GBK" w:hAnsi="宋体" w:eastAsia="方正仿宋_GBK"/>
          <w:sz w:val="24"/>
          <w:szCs w:val="24"/>
        </w:rPr>
        <w:t>不得参加同一合同项</w:t>
      </w:r>
      <w:r>
        <w:rPr>
          <w:rFonts w:hint="eastAsia" w:ascii="方正仿宋_GBK" w:hAnsi="宋体" w:eastAsia="方正仿宋_GBK"/>
          <w:sz w:val="24"/>
          <w:szCs w:val="24"/>
        </w:rPr>
        <w:t>（分包）</w:t>
      </w:r>
      <w:r>
        <w:rPr>
          <w:rFonts w:ascii="方正仿宋_GBK" w:hAnsi="宋体" w:eastAsia="方正仿宋_GBK"/>
          <w:sz w:val="24"/>
          <w:szCs w:val="24"/>
        </w:rPr>
        <w:t>下的政府采购活动</w:t>
      </w:r>
      <w:r>
        <w:rPr>
          <w:rFonts w:hint="eastAsia" w:ascii="方正仿宋_GBK" w:hAnsi="宋体" w:eastAsia="方正仿宋_GBK"/>
          <w:sz w:val="24"/>
          <w:szCs w:val="24"/>
        </w:rPr>
        <w:t>，否则均为无效谈判。</w:t>
      </w:r>
    </w:p>
    <w:p>
      <w:pPr>
        <w:snapToGrid w:val="0"/>
        <w:spacing w:line="38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（二）为采购项目提供整体设计、规范编制或者项目管理、监理、检测等服务的供应商，不得再</w:t>
      </w:r>
      <w:r>
        <w:rPr>
          <w:rFonts w:ascii="方正仿宋_GBK" w:hAnsi="宋体" w:eastAsia="方正仿宋_GBK"/>
          <w:sz w:val="24"/>
          <w:szCs w:val="24"/>
        </w:rPr>
        <w:t>参加</w:t>
      </w:r>
      <w:r>
        <w:rPr>
          <w:rFonts w:hint="eastAsia" w:ascii="方正仿宋_GBK" w:hAnsi="宋体" w:eastAsia="方正仿宋_GBK"/>
          <w:sz w:val="24"/>
          <w:szCs w:val="24"/>
        </w:rPr>
        <w:t>该采购</w:t>
      </w:r>
      <w:r>
        <w:rPr>
          <w:rFonts w:ascii="方正仿宋_GBK" w:hAnsi="宋体" w:eastAsia="方正仿宋_GBK"/>
          <w:sz w:val="24"/>
          <w:szCs w:val="24"/>
        </w:rPr>
        <w:t>项目的</w:t>
      </w:r>
      <w:r>
        <w:rPr>
          <w:rFonts w:hint="eastAsia" w:ascii="方正仿宋_GBK" w:hAnsi="宋体" w:eastAsia="方正仿宋_GBK"/>
          <w:sz w:val="24"/>
          <w:szCs w:val="24"/>
        </w:rPr>
        <w:t>其他</w:t>
      </w:r>
      <w:r>
        <w:rPr>
          <w:rFonts w:ascii="方正仿宋_GBK" w:hAnsi="宋体" w:eastAsia="方正仿宋_GBK"/>
          <w:sz w:val="24"/>
          <w:szCs w:val="24"/>
        </w:rPr>
        <w:t>采购活动</w:t>
      </w:r>
      <w:r>
        <w:rPr>
          <w:rFonts w:hint="eastAsia" w:ascii="方正仿宋_GBK" w:hAnsi="宋体" w:eastAsia="方正仿宋_GBK"/>
          <w:sz w:val="24"/>
          <w:szCs w:val="24"/>
        </w:rPr>
        <w:t>。</w:t>
      </w:r>
    </w:p>
    <w:p>
      <w:pPr>
        <w:snapToGrid w:val="0"/>
        <w:spacing w:line="38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（三）同一合同项（分包）下为单一品目的货物采购中，同一品牌同一型号产品有多家供应商参加谈判，只能按照一家供应商计算。</w:t>
      </w:r>
    </w:p>
    <w:p>
      <w:pPr>
        <w:snapToGrid w:val="0"/>
        <w:spacing w:line="38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（四）同一合同项（分包）下的货物，制造商参与谈判的，不得再委托代理商参与谈判。</w:t>
      </w:r>
    </w:p>
    <w:p>
      <w:pPr>
        <w:snapToGrid w:val="0"/>
        <w:spacing w:line="38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（五）本项目的补遗文件（如果</w:t>
      </w:r>
      <w:r>
        <w:rPr>
          <w:rFonts w:hint="eastAsia" w:ascii="方正仿宋_GBK" w:hAnsi="宋体" w:eastAsia="方正仿宋_GBK"/>
          <w:sz w:val="24"/>
          <w:szCs w:val="24"/>
          <w:highlight w:val="none"/>
        </w:rPr>
        <w:t>有）一律在重庆双福育才中学</w:t>
      </w:r>
      <w:r>
        <w:rPr>
          <w:rFonts w:hint="eastAsia" w:ascii="方正仿宋_GBK" w:hAnsi="宋体" w:eastAsia="方正仿宋_GBK"/>
          <w:sz w:val="24"/>
          <w:szCs w:val="24"/>
          <w:highlight w:val="none"/>
          <w:lang w:eastAsia="zh-CN"/>
        </w:rPr>
        <w:t>（http://sf.cqyc.com/）、行采家（https://www.gec123.com/）</w:t>
      </w:r>
      <w:r>
        <w:rPr>
          <w:rFonts w:hint="eastAsia" w:ascii="方正仿宋_GBK" w:hAnsi="宋体" w:eastAsia="方正仿宋_GBK"/>
          <w:sz w:val="24"/>
          <w:szCs w:val="24"/>
          <w:highlight w:val="none"/>
        </w:rPr>
        <w:t>上发布</w:t>
      </w:r>
      <w:r>
        <w:rPr>
          <w:rFonts w:hint="eastAsia" w:ascii="方正仿宋_GBK" w:hAnsi="宋体" w:eastAsia="方正仿宋_GBK"/>
          <w:sz w:val="24"/>
          <w:szCs w:val="24"/>
        </w:rPr>
        <w:t>，请各供应商注意下载或到</w:t>
      </w:r>
      <w:r>
        <w:rPr>
          <w:rFonts w:hint="eastAsia" w:ascii="方正仿宋_GBK" w:hAnsi="宋体" w:eastAsia="方正仿宋_GBK"/>
          <w:sz w:val="24"/>
          <w:szCs w:val="24"/>
          <w:lang w:eastAsia="zh-CN"/>
        </w:rPr>
        <w:t>中捷通信有限公司</w:t>
      </w:r>
      <w:r>
        <w:rPr>
          <w:rFonts w:hint="eastAsia" w:ascii="方正仿宋_GBK" w:hAnsi="宋体" w:eastAsia="方正仿宋_GBK"/>
          <w:sz w:val="24"/>
          <w:szCs w:val="24"/>
        </w:rPr>
        <w:t>领取；无论供应商下载或领取与否，均视同供应商已知晓本项目补遗文件（如果有）的内容。</w:t>
      </w:r>
    </w:p>
    <w:p>
      <w:pPr>
        <w:snapToGrid w:val="0"/>
        <w:spacing w:line="38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（六）超过响应文件截止时间递交的响应文件，恕不接收。</w:t>
      </w:r>
    </w:p>
    <w:p>
      <w:pPr>
        <w:snapToGrid w:val="0"/>
        <w:spacing w:line="38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（七）谈判费用：无论谈判结果如何，供应商参与本项目谈判的所有费用均应由供应商自行承担。</w:t>
      </w:r>
    </w:p>
    <w:p>
      <w:pPr>
        <w:snapToGrid w:val="0"/>
        <w:spacing w:line="380" w:lineRule="exact"/>
        <w:ind w:firstLine="360" w:firstLineChars="150"/>
        <w:rPr>
          <w:rFonts w:hint="eastAsia" w:ascii="方正仿宋_GBK" w:hAnsi="宋体" w:eastAsia="方正仿宋_GBK"/>
          <w:b/>
          <w:sz w:val="24"/>
          <w:szCs w:val="24"/>
        </w:rPr>
      </w:pPr>
      <w:r>
        <w:rPr>
          <w:rFonts w:hint="eastAsia" w:ascii="方正仿宋_GBK" w:hAnsi="宋体" w:eastAsia="方正仿宋_GBK"/>
          <w:b/>
          <w:sz w:val="24"/>
          <w:szCs w:val="24"/>
        </w:rPr>
        <w:t>（八）本项目不接受联合体参与谈判。</w:t>
      </w:r>
    </w:p>
    <w:p>
      <w:pPr>
        <w:snapToGrid w:val="0"/>
        <w:spacing w:line="38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九）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3"/>
        <w:spacing w:before="0" w:after="0" w:line="380" w:lineRule="exact"/>
        <w:rPr>
          <w:rFonts w:hint="eastAsia" w:ascii="方正仿宋_GBK" w:eastAsia="方正仿宋_GBK"/>
          <w:sz w:val="24"/>
          <w:szCs w:val="24"/>
        </w:rPr>
      </w:pPr>
      <w:bookmarkStart w:id="22" w:name="_Toc525047164"/>
      <w:bookmarkStart w:id="23" w:name="_Toc23495"/>
      <w:bookmarkStart w:id="24" w:name="_Toc521053056"/>
      <w:r>
        <w:rPr>
          <w:rFonts w:hint="eastAsia" w:ascii="方正仿宋_GBK" w:eastAsia="方正仿宋_GBK"/>
          <w:sz w:val="24"/>
          <w:szCs w:val="24"/>
        </w:rPr>
        <w:t>八、联系方式</w:t>
      </w:r>
      <w:bookmarkEnd w:id="22"/>
      <w:bookmarkEnd w:id="23"/>
      <w:bookmarkEnd w:id="24"/>
    </w:p>
    <w:p>
      <w:pPr>
        <w:snapToGrid w:val="0"/>
        <w:spacing w:line="380" w:lineRule="exact"/>
        <w:ind w:firstLine="480" w:firstLineChars="200"/>
        <w:rPr>
          <w:rFonts w:hint="eastAsia" w:ascii="方正仿宋_GBK" w:hAnsi="宋体" w:eastAsia="方正仿宋_GBK"/>
          <w:sz w:val="24"/>
          <w:szCs w:val="24"/>
          <w:lang w:eastAsia="zh-CN"/>
        </w:rPr>
      </w:pPr>
      <w:r>
        <w:rPr>
          <w:rFonts w:hint="eastAsia" w:ascii="方正仿宋_GBK" w:hAnsi="宋体" w:eastAsia="方正仿宋_GBK"/>
          <w:sz w:val="24"/>
          <w:szCs w:val="24"/>
        </w:rPr>
        <w:t>（一）采购人：</w:t>
      </w:r>
      <w:r>
        <w:rPr>
          <w:rFonts w:hint="eastAsia" w:ascii="方正仿宋_GBK" w:hAnsi="宋体" w:eastAsia="方正仿宋_GBK"/>
          <w:sz w:val="24"/>
          <w:szCs w:val="24"/>
          <w:lang w:eastAsia="zh-CN"/>
        </w:rPr>
        <w:t>重庆双福育才中学</w:t>
      </w:r>
    </w:p>
    <w:p>
      <w:pPr>
        <w:snapToGrid w:val="0"/>
        <w:spacing w:line="380" w:lineRule="exact"/>
        <w:ind w:firstLine="480" w:firstLineChars="200"/>
        <w:rPr>
          <w:rFonts w:hint="eastAsia" w:ascii="方正仿宋_GBK" w:hAnsi="宋体" w:eastAsia="方正仿宋_GBK"/>
          <w:sz w:val="24"/>
          <w:szCs w:val="24"/>
          <w:lang w:eastAsia="zh-CN"/>
        </w:rPr>
      </w:pPr>
      <w:r>
        <w:rPr>
          <w:rFonts w:hint="eastAsia" w:ascii="方正仿宋_GBK" w:hAnsi="宋体" w:eastAsia="方正仿宋_GBK"/>
          <w:sz w:val="24"/>
          <w:szCs w:val="24"/>
        </w:rPr>
        <w:t>联系人：</w:t>
      </w:r>
      <w:r>
        <w:rPr>
          <w:rFonts w:hint="eastAsia" w:ascii="方正仿宋_GBK" w:hAnsi="宋体" w:eastAsia="方正仿宋_GBK"/>
          <w:sz w:val="24"/>
          <w:szCs w:val="24"/>
          <w:lang w:eastAsia="zh-CN"/>
        </w:rPr>
        <w:t>肖老师</w:t>
      </w:r>
    </w:p>
    <w:p>
      <w:pPr>
        <w:snapToGrid w:val="0"/>
        <w:spacing w:line="380" w:lineRule="exact"/>
        <w:ind w:firstLine="480" w:firstLineChars="200"/>
        <w:rPr>
          <w:rFonts w:hint="default" w:ascii="方正仿宋_GBK" w:hAnsi="宋体" w:eastAsia="方正仿宋_GBK"/>
          <w:sz w:val="24"/>
          <w:szCs w:val="24"/>
          <w:lang w:val="en-US" w:eastAsia="zh-CN"/>
        </w:rPr>
      </w:pPr>
      <w:r>
        <w:rPr>
          <w:rFonts w:hint="eastAsia" w:ascii="方正仿宋_GBK" w:hAnsi="宋体" w:eastAsia="方正仿宋_GBK"/>
          <w:sz w:val="24"/>
          <w:szCs w:val="24"/>
        </w:rPr>
        <w:t>电  话：</w:t>
      </w:r>
      <w:r>
        <w:rPr>
          <w:rFonts w:hint="eastAsia" w:ascii="方正仿宋_GBK" w:hAnsi="宋体" w:eastAsia="方正仿宋_GBK"/>
          <w:sz w:val="24"/>
          <w:szCs w:val="24"/>
          <w:lang w:val="en-US" w:eastAsia="zh-CN"/>
        </w:rPr>
        <w:t>13883806701</w:t>
      </w:r>
    </w:p>
    <w:p>
      <w:pPr>
        <w:snapToGrid w:val="0"/>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地  址：重庆市江津区双福新区枫林大道行知路1号</w:t>
      </w:r>
    </w:p>
    <w:p>
      <w:pPr>
        <w:snapToGrid w:val="0"/>
        <w:spacing w:line="380" w:lineRule="exact"/>
        <w:ind w:firstLine="480" w:firstLineChars="200"/>
        <w:rPr>
          <w:rFonts w:hint="eastAsia" w:ascii="方正仿宋_GBK" w:hAnsi="宋体" w:eastAsia="方正仿宋_GBK"/>
          <w:sz w:val="24"/>
          <w:szCs w:val="24"/>
          <w:lang w:eastAsia="zh-CN"/>
        </w:rPr>
      </w:pPr>
      <w:r>
        <w:rPr>
          <w:rFonts w:hint="eastAsia" w:ascii="方正仿宋_GBK" w:hAnsi="宋体" w:eastAsia="方正仿宋_GBK"/>
          <w:sz w:val="24"/>
          <w:szCs w:val="24"/>
        </w:rPr>
        <w:t>（二）采购代理机构：</w:t>
      </w:r>
      <w:r>
        <w:rPr>
          <w:rFonts w:hint="eastAsia" w:ascii="方正仿宋_GBK" w:hAnsi="宋体" w:eastAsia="方正仿宋_GBK"/>
          <w:sz w:val="24"/>
          <w:szCs w:val="24"/>
          <w:lang w:eastAsia="zh-CN"/>
        </w:rPr>
        <w:t>中捷通信有限公司</w:t>
      </w:r>
    </w:p>
    <w:p>
      <w:pPr>
        <w:snapToGrid w:val="0"/>
        <w:spacing w:line="380" w:lineRule="exact"/>
        <w:ind w:firstLine="480" w:firstLineChars="200"/>
        <w:rPr>
          <w:rFonts w:hint="eastAsia" w:ascii="方正仿宋_GBK" w:hAnsi="宋体" w:eastAsia="方正仿宋_GBK"/>
          <w:sz w:val="24"/>
          <w:szCs w:val="24"/>
          <w:lang w:eastAsia="zh-CN"/>
        </w:rPr>
      </w:pPr>
      <w:r>
        <w:rPr>
          <w:rFonts w:hint="eastAsia" w:ascii="方正仿宋_GBK" w:hAnsi="宋体" w:eastAsia="方正仿宋_GBK"/>
          <w:sz w:val="24"/>
          <w:szCs w:val="24"/>
        </w:rPr>
        <w:t>联系人：</w:t>
      </w:r>
      <w:r>
        <w:rPr>
          <w:rFonts w:hint="eastAsia" w:ascii="方正仿宋_GBK" w:hAnsi="宋体" w:eastAsia="方正仿宋_GBK"/>
          <w:sz w:val="24"/>
          <w:szCs w:val="24"/>
          <w:lang w:eastAsia="zh-CN"/>
        </w:rPr>
        <w:t>曾徐</w:t>
      </w:r>
    </w:p>
    <w:p>
      <w:pPr>
        <w:snapToGrid w:val="0"/>
        <w:spacing w:line="380" w:lineRule="exact"/>
        <w:ind w:firstLine="480" w:firstLineChars="200"/>
        <w:rPr>
          <w:rFonts w:hint="default" w:ascii="方正仿宋_GBK" w:hAnsi="宋体" w:eastAsia="方正仿宋_GBK"/>
          <w:sz w:val="24"/>
          <w:szCs w:val="24"/>
          <w:lang w:val="en-US" w:eastAsia="zh-CN"/>
        </w:rPr>
      </w:pPr>
      <w:r>
        <w:rPr>
          <w:rFonts w:hint="eastAsia" w:ascii="方正仿宋_GBK" w:hAnsi="宋体" w:eastAsia="方正仿宋_GBK"/>
          <w:sz w:val="24"/>
          <w:szCs w:val="24"/>
        </w:rPr>
        <w:t>电  话：</w:t>
      </w:r>
      <w:r>
        <w:rPr>
          <w:rFonts w:hint="eastAsia" w:ascii="方正仿宋_GBK" w:hAnsi="宋体" w:eastAsia="方正仿宋_GBK"/>
          <w:sz w:val="24"/>
          <w:szCs w:val="24"/>
          <w:lang w:val="en-US" w:eastAsia="zh-CN"/>
        </w:rPr>
        <w:t>15023344892</w:t>
      </w:r>
    </w:p>
    <w:p>
      <w:pPr>
        <w:snapToGrid w:val="0"/>
        <w:spacing w:line="380" w:lineRule="exact"/>
        <w:ind w:firstLine="480" w:firstLineChars="200"/>
        <w:rPr>
          <w:rFonts w:hint="default" w:ascii="方正仿宋_GBK" w:hAnsi="宋体" w:eastAsia="方正仿宋_GBK"/>
          <w:sz w:val="24"/>
          <w:szCs w:val="24"/>
          <w:lang w:val="en-US" w:eastAsia="zh-CN"/>
        </w:rPr>
      </w:pPr>
      <w:r>
        <w:rPr>
          <w:rFonts w:hint="eastAsia" w:ascii="方正仿宋_GBK" w:hAnsi="宋体" w:eastAsia="方正仿宋_GBK"/>
          <w:sz w:val="24"/>
          <w:szCs w:val="24"/>
        </w:rPr>
        <w:t>传  真：</w:t>
      </w:r>
      <w:r>
        <w:rPr>
          <w:rFonts w:hint="eastAsia" w:ascii="方正仿宋_GBK" w:hAnsi="宋体" w:eastAsia="方正仿宋_GBK"/>
          <w:sz w:val="24"/>
          <w:szCs w:val="24"/>
          <w:lang w:val="en-US" w:eastAsia="zh-CN"/>
        </w:rPr>
        <w:t>023-67883873</w:t>
      </w:r>
    </w:p>
    <w:p>
      <w:pPr>
        <w:snapToGrid w:val="0"/>
        <w:spacing w:line="380" w:lineRule="exact"/>
        <w:ind w:firstLine="480" w:firstLineChars="200"/>
      </w:pPr>
      <w:bookmarkStart w:id="25" w:name="_GoBack"/>
      <w:bookmarkEnd w:id="25"/>
      <w:r>
        <w:rPr>
          <w:rFonts w:hint="eastAsia" w:ascii="方正仿宋_GBK" w:hAnsi="宋体" w:eastAsia="方正仿宋_GBK"/>
          <w:sz w:val="24"/>
          <w:szCs w:val="24"/>
        </w:rPr>
        <w:t>地  址：重庆市</w:t>
      </w:r>
      <w:r>
        <w:rPr>
          <w:rFonts w:hint="eastAsia" w:ascii="方正仿宋_GBK" w:hAnsi="宋体" w:eastAsia="方正仿宋_GBK"/>
          <w:sz w:val="24"/>
          <w:szCs w:val="24"/>
          <w:lang w:eastAsia="zh-CN"/>
        </w:rPr>
        <w:t>渝北区黄山大道中段</w:t>
      </w:r>
      <w:r>
        <w:rPr>
          <w:rFonts w:hint="eastAsia" w:ascii="方正仿宋_GBK" w:hAnsi="宋体" w:eastAsia="方正仿宋_GBK"/>
          <w:sz w:val="24"/>
          <w:szCs w:val="24"/>
          <w:lang w:val="en-US" w:eastAsia="zh-CN"/>
        </w:rPr>
        <w:t>67号信达国际B座804室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284013"/>
    <w:rsid w:val="6E523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Body Text Indent"/>
    <w:basedOn w:val="1"/>
    <w:uiPriority w:val="0"/>
    <w:pPr>
      <w:spacing w:line="700" w:lineRule="exact"/>
      <w:ind w:left="960"/>
    </w:pPr>
    <w:rPr>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2020-06-22T06:10:00Z</dcterms:created>
  <dc:creator>Administrator</dc:creator>
  <cp:lastModifiedBy>.曾徐</cp:lastModifiedBy>
  <dcterms:modified xsi:type="dcterms:W3CDTF">2020-06-22T08:00:20Z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